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4C" w:rsidRDefault="0017644C" w:rsidP="0017644C">
      <w:pPr>
        <w:keepNext/>
        <w:tabs>
          <w:tab w:val="left" w:pos="4301"/>
        </w:tabs>
        <w:spacing w:after="0" w:line="276" w:lineRule="auto"/>
        <w:jc w:val="center"/>
        <w:outlineLvl w:val="7"/>
        <w:rPr>
          <w:rFonts w:ascii="Book Antiqua" w:hAnsi="Book Antiqua" w:cs="Arial"/>
          <w:sz w:val="20"/>
          <w:szCs w:val="20"/>
        </w:rPr>
      </w:pPr>
      <w:r>
        <w:rPr>
          <w:rFonts w:ascii="Book Antiqua" w:hAnsi="Book Antiqua" w:cs="Arial"/>
          <w:b/>
          <w:bCs/>
          <w:sz w:val="20"/>
          <w:szCs w:val="20"/>
          <w:u w:val="single"/>
        </w:rPr>
        <w:t xml:space="preserve">PROJETO DE LEI Nº </w:t>
      </w:r>
      <w:r w:rsidR="002A1B5F">
        <w:rPr>
          <w:rFonts w:ascii="Book Antiqua" w:hAnsi="Book Antiqua" w:cs="Arial"/>
          <w:b/>
          <w:bCs/>
          <w:sz w:val="20"/>
          <w:szCs w:val="20"/>
          <w:u w:val="single"/>
        </w:rPr>
        <w:t xml:space="preserve"> </w:t>
      </w:r>
      <w:r w:rsidR="00AF2528">
        <w:rPr>
          <w:rFonts w:ascii="Book Antiqua" w:hAnsi="Book Antiqua" w:cs="Arial"/>
          <w:b/>
          <w:bCs/>
          <w:sz w:val="20"/>
          <w:szCs w:val="20"/>
          <w:u w:val="single"/>
        </w:rPr>
        <w:t>085</w:t>
      </w:r>
      <w:bookmarkStart w:id="0" w:name="_GoBack"/>
      <w:bookmarkEnd w:id="0"/>
      <w:r w:rsidR="002A1B5F">
        <w:rPr>
          <w:rFonts w:ascii="Book Antiqua" w:hAnsi="Book Antiqua" w:cs="Arial"/>
          <w:b/>
          <w:bCs/>
          <w:sz w:val="20"/>
          <w:szCs w:val="20"/>
          <w:u w:val="single"/>
        </w:rPr>
        <w:t xml:space="preserve">  /2021</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ind w:left="4536"/>
        <w:jc w:val="both"/>
        <w:rPr>
          <w:rFonts w:ascii="Book Antiqua" w:hAnsi="Book Antiqua" w:cs="Arial"/>
          <w:b/>
          <w:bCs/>
          <w:color w:val="000000"/>
          <w:sz w:val="20"/>
          <w:szCs w:val="20"/>
        </w:rPr>
      </w:pPr>
      <w:r>
        <w:rPr>
          <w:rFonts w:ascii="Book Antiqua" w:hAnsi="Book Antiqua" w:cs="Arial"/>
          <w:b/>
          <w:bCs/>
          <w:color w:val="000000"/>
          <w:sz w:val="20"/>
          <w:szCs w:val="20"/>
        </w:rPr>
        <w:t xml:space="preserve">DISPÕE SOBRE AS DIRETRIZES ORÇAMENTÁRIAS PARA A ELABORAÇÃO DA LEI ORÇAMENTÁRIA DE 2022, E DÁ OUTRAS PROVIDÊNCIAS. </w:t>
      </w:r>
    </w:p>
    <w:p w:rsidR="0017644C" w:rsidRDefault="0017644C" w:rsidP="0017644C">
      <w:pPr>
        <w:spacing w:after="0" w:line="276" w:lineRule="auto"/>
        <w:jc w:val="both"/>
        <w:rPr>
          <w:rFonts w:ascii="Book Antiqua" w:hAnsi="Book Antiqua" w:cs="Arial"/>
          <w:bCs/>
          <w:color w:val="000000"/>
          <w:sz w:val="20"/>
          <w:szCs w:val="20"/>
        </w:rPr>
      </w:pPr>
    </w:p>
    <w:p w:rsidR="0017644C" w:rsidRDefault="0017644C" w:rsidP="0017644C">
      <w:pPr>
        <w:spacing w:after="0" w:line="276" w:lineRule="auto"/>
        <w:jc w:val="both"/>
        <w:rPr>
          <w:rFonts w:ascii="Book Antiqua" w:hAnsi="Book Antiqua" w:cs="Arial"/>
          <w:bCs/>
          <w:color w:val="000000"/>
          <w:sz w:val="20"/>
          <w:szCs w:val="20"/>
        </w:rPr>
      </w:pPr>
    </w:p>
    <w:p w:rsidR="0017644C" w:rsidRDefault="0017644C" w:rsidP="0017644C">
      <w:pPr>
        <w:spacing w:after="0" w:line="276" w:lineRule="auto"/>
        <w:ind w:firstLine="4536"/>
        <w:jc w:val="both"/>
        <w:rPr>
          <w:rFonts w:ascii="Book Antiqua" w:hAnsi="Book Antiqua" w:cs="Arial"/>
          <w:b/>
          <w:bCs/>
          <w:color w:val="000000"/>
          <w:sz w:val="20"/>
          <w:szCs w:val="20"/>
        </w:rPr>
      </w:pPr>
      <w:r>
        <w:rPr>
          <w:rFonts w:ascii="Book Antiqua" w:hAnsi="Book Antiqua" w:cs="Arial"/>
          <w:b/>
          <w:bCs/>
          <w:color w:val="000000"/>
          <w:sz w:val="20"/>
          <w:szCs w:val="20"/>
        </w:rPr>
        <w:t xml:space="preserve">O PREFEITO DO MUNICÍPIO DE GUARARAPES, </w:t>
      </w:r>
      <w:r>
        <w:rPr>
          <w:rFonts w:ascii="Book Antiqua" w:hAnsi="Book Antiqua" w:cs="Arial"/>
          <w:color w:val="000000"/>
          <w:sz w:val="20"/>
          <w:szCs w:val="20"/>
        </w:rPr>
        <w:t>Estado de São Paulo, usando de suas atribuições legais</w:t>
      </w:r>
      <w:r>
        <w:rPr>
          <w:rFonts w:ascii="Book Antiqua" w:hAnsi="Book Antiqua" w:cs="Arial"/>
          <w:b/>
          <w:bCs/>
          <w:color w:val="000000"/>
          <w:sz w:val="20"/>
          <w:szCs w:val="20"/>
        </w:rPr>
        <w:t>;</w:t>
      </w:r>
    </w:p>
    <w:p w:rsidR="0017644C" w:rsidRDefault="0017644C" w:rsidP="0017644C">
      <w:pPr>
        <w:spacing w:after="0" w:line="276" w:lineRule="auto"/>
        <w:jc w:val="both"/>
        <w:rPr>
          <w:rFonts w:ascii="Book Antiqua" w:hAnsi="Book Antiqua" w:cs="Arial"/>
          <w:bCs/>
          <w:color w:val="000000"/>
          <w:sz w:val="20"/>
          <w:szCs w:val="20"/>
        </w:rPr>
      </w:pPr>
    </w:p>
    <w:p w:rsidR="0017644C" w:rsidRDefault="0017644C" w:rsidP="0017644C">
      <w:pPr>
        <w:autoSpaceDE w:val="0"/>
        <w:autoSpaceDN w:val="0"/>
        <w:adjustRightInd w:val="0"/>
        <w:spacing w:after="0" w:line="240" w:lineRule="auto"/>
        <w:ind w:firstLine="4536"/>
        <w:jc w:val="both"/>
        <w:rPr>
          <w:rFonts w:ascii="Book Antiqua" w:hAnsi="Book Antiqua" w:cs="BookAntiqua"/>
          <w:bCs/>
          <w:sz w:val="20"/>
          <w:szCs w:val="20"/>
        </w:rPr>
      </w:pPr>
      <w:r>
        <w:rPr>
          <w:rFonts w:ascii="Book Antiqua" w:hAnsi="Book Antiqua"/>
          <w:bCs/>
          <w:sz w:val="20"/>
          <w:szCs w:val="20"/>
        </w:rPr>
        <w:t>F</w:t>
      </w:r>
      <w:r>
        <w:rPr>
          <w:rFonts w:ascii="Book Antiqua" w:hAnsi="Book Antiqua" w:cs="Arial"/>
          <w:bCs/>
          <w:sz w:val="20"/>
          <w:szCs w:val="20"/>
        </w:rPr>
        <w:t xml:space="preserve">az saber que a Câmara Municipal de Guararapes, Estado de São Paulo, </w:t>
      </w:r>
      <w:r>
        <w:rPr>
          <w:rFonts w:ascii="Book Antiqua" w:hAnsi="Book Antiqua" w:cs="Arial"/>
          <w:b/>
          <w:sz w:val="20"/>
          <w:szCs w:val="20"/>
        </w:rPr>
        <w:t>APROVA</w:t>
      </w:r>
      <w:r>
        <w:rPr>
          <w:rFonts w:ascii="Book Antiqua" w:hAnsi="Book Antiqua" w:cs="Arial"/>
          <w:bCs/>
          <w:sz w:val="20"/>
          <w:szCs w:val="20"/>
        </w:rPr>
        <w:t xml:space="preserve"> e ele </w:t>
      </w:r>
      <w:r>
        <w:rPr>
          <w:rFonts w:ascii="Book Antiqua" w:hAnsi="Book Antiqua" w:cs="Arial"/>
          <w:b/>
          <w:sz w:val="20"/>
          <w:szCs w:val="20"/>
        </w:rPr>
        <w:t>SANCIONA</w:t>
      </w:r>
      <w:r>
        <w:rPr>
          <w:rFonts w:ascii="Book Antiqua" w:hAnsi="Book Antiqua" w:cs="Arial"/>
          <w:bCs/>
          <w:sz w:val="20"/>
          <w:szCs w:val="20"/>
        </w:rPr>
        <w:t xml:space="preserve"> e </w:t>
      </w:r>
      <w:r>
        <w:rPr>
          <w:rFonts w:ascii="Book Antiqua" w:hAnsi="Book Antiqua" w:cs="Arial"/>
          <w:b/>
          <w:sz w:val="20"/>
          <w:szCs w:val="20"/>
        </w:rPr>
        <w:t>PROMULGA</w:t>
      </w:r>
      <w:r>
        <w:rPr>
          <w:rFonts w:ascii="Book Antiqua" w:hAnsi="Book Antiqua" w:cs="Arial"/>
          <w:bCs/>
          <w:sz w:val="20"/>
          <w:szCs w:val="20"/>
        </w:rPr>
        <w:t xml:space="preserve"> a seguinte Lei:</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keepNext/>
        <w:spacing w:after="0" w:line="276" w:lineRule="auto"/>
        <w:jc w:val="center"/>
        <w:outlineLvl w:val="1"/>
        <w:rPr>
          <w:rFonts w:ascii="Book Antiqua" w:hAnsi="Book Antiqua" w:cs="Arial"/>
          <w:b/>
          <w:bCs/>
          <w:color w:val="000000"/>
          <w:sz w:val="20"/>
          <w:szCs w:val="20"/>
        </w:rPr>
      </w:pPr>
      <w:r>
        <w:rPr>
          <w:rFonts w:ascii="Book Antiqua" w:hAnsi="Book Antiqua" w:cs="Arial"/>
          <w:b/>
          <w:bCs/>
          <w:color w:val="000000"/>
          <w:sz w:val="20"/>
          <w:szCs w:val="20"/>
        </w:rPr>
        <w:t>CAPÍTULO I</w:t>
      </w:r>
    </w:p>
    <w:p w:rsidR="0017644C" w:rsidRDefault="0017644C" w:rsidP="0017644C">
      <w:pPr>
        <w:keepNext/>
        <w:spacing w:after="0" w:line="276" w:lineRule="auto"/>
        <w:jc w:val="center"/>
        <w:outlineLvl w:val="3"/>
        <w:rPr>
          <w:rFonts w:ascii="Book Antiqua" w:hAnsi="Book Antiqua" w:cs="Arial"/>
          <w:color w:val="000000"/>
          <w:sz w:val="20"/>
          <w:szCs w:val="20"/>
          <w:u w:val="single"/>
        </w:rPr>
      </w:pPr>
      <w:r>
        <w:rPr>
          <w:rFonts w:ascii="Book Antiqua" w:hAnsi="Book Antiqua" w:cs="Arial"/>
          <w:color w:val="000000"/>
          <w:sz w:val="20"/>
          <w:szCs w:val="20"/>
          <w:u w:val="single"/>
        </w:rPr>
        <w:t>DAS DIRETRIZES GERAIS</w:t>
      </w:r>
    </w:p>
    <w:p w:rsidR="0017644C" w:rsidRDefault="0017644C" w:rsidP="0017644C">
      <w:pPr>
        <w:spacing w:after="0" w:line="276" w:lineRule="auto"/>
        <w:jc w:val="both"/>
        <w:rPr>
          <w:rFonts w:ascii="Book Antiqua" w:hAnsi="Book Antiqua" w:cs="Arial"/>
          <w:color w:val="000000"/>
          <w:sz w:val="20"/>
          <w:szCs w:val="20"/>
          <w:u w:val="single"/>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1º</w:t>
      </w:r>
      <w:r>
        <w:rPr>
          <w:rFonts w:ascii="Book Antiqua" w:hAnsi="Book Antiqua" w:cs="Arial"/>
          <w:color w:val="000000"/>
          <w:sz w:val="20"/>
          <w:szCs w:val="20"/>
        </w:rPr>
        <w:t xml:space="preserve"> Ficam estabelecidas, para a elaboração dos orçamentos do município, relativo ao exercício de 2022, as diretrizes gerais de que trata este Capítulo, os princípios estabelecidos na Constituição Federal, na Constituição Estadual no que couber, na Lei Federal nº 4.320, de 17 de março de 1964, na Lei de Responsabilidade Fiscal (Lei Complementar Federal nº 101, de 4 de maio de 2000), na Lei Orgânica do Município e, as Portarias editadas pela Secretaria do Tesouro Nacional.</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2º</w:t>
      </w:r>
      <w:r>
        <w:rPr>
          <w:rFonts w:ascii="Book Antiqua" w:hAnsi="Book Antiqua" w:cs="Arial"/>
          <w:color w:val="000000"/>
          <w:sz w:val="20"/>
          <w:szCs w:val="20"/>
        </w:rPr>
        <w:t xml:space="preserve"> A estrutura orçamentária que servirá de base para a elaboração do orçamento programa para o próximo exercício deverá obedecer à disposição constante dos anexos que fazem parte integrante desta Lei, bem como os anexos do Plano Plurianual, quadriênio 2022-2025.</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3º</w:t>
      </w:r>
      <w:r>
        <w:rPr>
          <w:rFonts w:ascii="Book Antiqua" w:hAnsi="Book Antiqua" w:cs="Arial"/>
          <w:color w:val="000000"/>
          <w:sz w:val="20"/>
          <w:szCs w:val="20"/>
        </w:rPr>
        <w:t xml:space="preserve"> As unidades orçamentárias, quando da elaboração de suas propostas parciais, deverão atender à estrutura orçamentária e às determinações emanadas pelos setores competentes da área.</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4º</w:t>
      </w:r>
      <w:r>
        <w:rPr>
          <w:rFonts w:ascii="Book Antiqua" w:hAnsi="Book Antiqua" w:cs="Arial"/>
          <w:color w:val="000000"/>
          <w:sz w:val="20"/>
          <w:szCs w:val="20"/>
        </w:rPr>
        <w:t xml:space="preserve"> A proposta orçamentária, que não conterá dispositivo estranho à previsão da receita e à fixação da despesa, face à Constituição Federal e à Lei de Responsabilidade Fiscal, atenderá a um processo de planejamento permanente, à descentralização, à participação comunitária, e conterá “reserva de contingência”, identificado pelo código “999999999” em montante equivalente a no mínimo 0,1% (um décimo de um por cento) da Receita Corrente Líquida.</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tabs>
          <w:tab w:val="center" w:pos="1980"/>
        </w:tabs>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1º</w:t>
      </w:r>
      <w:r>
        <w:rPr>
          <w:rFonts w:ascii="Book Antiqua" w:hAnsi="Book Antiqua" w:cs="Arial"/>
          <w:color w:val="000000"/>
          <w:sz w:val="20"/>
          <w:szCs w:val="20"/>
        </w:rPr>
        <w:t xml:space="preserve"> A criação, expansão ou aperfeiçoamento de ação governamental que acarrete aumento de despesas será acompanhado de estimativa do impacto orçamentário e financeiro, ressalvado quando se tratarem de despesas corriqueiras, habituais, relacionadas apenas e tão somente à operação e manutenção de serviços preexistentes, que não compõem o PPA e a LDO; e ainda consideradas irrelevantes, nos limites dos incisos I e II, alínea “a”, do artigo 23 da Lei Federal nº 8.666, de 21 de junho de 1993.</w:t>
      </w:r>
    </w:p>
    <w:p w:rsidR="0017644C" w:rsidRDefault="0017644C" w:rsidP="0017644C">
      <w:pPr>
        <w:tabs>
          <w:tab w:val="center" w:pos="1980"/>
        </w:tabs>
        <w:spacing w:after="0" w:line="276" w:lineRule="auto"/>
        <w:jc w:val="both"/>
        <w:rPr>
          <w:rFonts w:ascii="Book Antiqua" w:hAnsi="Book Antiqua" w:cs="Arial"/>
          <w:color w:val="000000"/>
          <w:sz w:val="20"/>
          <w:szCs w:val="20"/>
        </w:rPr>
      </w:pPr>
    </w:p>
    <w:p w:rsidR="0017644C" w:rsidRDefault="0017644C" w:rsidP="0017644C">
      <w:pPr>
        <w:tabs>
          <w:tab w:val="center" w:pos="1980"/>
        </w:tabs>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2º</w:t>
      </w:r>
      <w:r>
        <w:rPr>
          <w:rFonts w:ascii="Book Antiqua" w:hAnsi="Book Antiqua" w:cs="Arial"/>
          <w:color w:val="000000"/>
          <w:sz w:val="20"/>
          <w:szCs w:val="20"/>
        </w:rPr>
        <w:t xml:space="preserve"> A execução orçamentária e financeira das despesas realizadas de forma descentralizada, observarão as normas estabelecidas pela Portaria 339, de 29 de agosto de 2001, da Secretaria do Tesouro Nacional.</w:t>
      </w:r>
    </w:p>
    <w:p w:rsidR="0017644C" w:rsidRDefault="0017644C" w:rsidP="0017644C">
      <w:pPr>
        <w:tabs>
          <w:tab w:val="center" w:pos="1980"/>
        </w:tabs>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lastRenderedPageBreak/>
        <w:tab/>
        <w:t>§ 3º</w:t>
      </w:r>
      <w:r>
        <w:rPr>
          <w:rFonts w:ascii="Book Antiqua" w:hAnsi="Book Antiqua" w:cs="Arial"/>
          <w:color w:val="000000"/>
          <w:sz w:val="20"/>
          <w:szCs w:val="20"/>
        </w:rPr>
        <w:t xml:space="preserve"> O orçamento fiscal se refere aos Poderes Executivo e Legislativo Municipais e seus fundos mantidos pelo Poder Público Municipal.</w:t>
      </w:r>
    </w:p>
    <w:p w:rsidR="0017644C" w:rsidRDefault="0017644C" w:rsidP="0017644C">
      <w:pPr>
        <w:tabs>
          <w:tab w:val="center" w:pos="1980"/>
        </w:tabs>
        <w:spacing w:after="0" w:line="276" w:lineRule="auto"/>
        <w:jc w:val="both"/>
        <w:rPr>
          <w:rFonts w:ascii="Book Antiqua" w:hAnsi="Book Antiqua" w:cs="Arial"/>
          <w:color w:val="000000"/>
          <w:sz w:val="20"/>
          <w:szCs w:val="20"/>
        </w:rPr>
      </w:pPr>
    </w:p>
    <w:p w:rsidR="0017644C" w:rsidRDefault="0017644C" w:rsidP="0017644C">
      <w:pPr>
        <w:tabs>
          <w:tab w:val="center" w:pos="1980"/>
        </w:tabs>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b/>
        <w:t>§ 4º</w:t>
      </w:r>
      <w:r>
        <w:rPr>
          <w:rFonts w:ascii="Book Antiqua" w:hAnsi="Book Antiqua" w:cs="Arial"/>
          <w:color w:val="000000"/>
          <w:sz w:val="20"/>
          <w:szCs w:val="20"/>
        </w:rPr>
        <w:t xml:space="preserve"> O orçamento da seguridade social abrange todas as entidades de saúde, previdência e assistência social, quando couber.</w:t>
      </w:r>
    </w:p>
    <w:p w:rsidR="0017644C" w:rsidRDefault="0017644C" w:rsidP="0017644C">
      <w:pPr>
        <w:tabs>
          <w:tab w:val="center" w:pos="1980"/>
        </w:tabs>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5º</w:t>
      </w:r>
      <w:r>
        <w:rPr>
          <w:rFonts w:ascii="Book Antiqua" w:hAnsi="Book Antiqua" w:cs="Arial"/>
          <w:color w:val="000000"/>
          <w:sz w:val="20"/>
          <w:szCs w:val="20"/>
        </w:rPr>
        <w:t xml:space="preserve"> O Poder Legislativo encaminhará ao Poder Executivo, sua proposta parcial até o dia 30 de agosto, de conformidade com a Emenda Constitucional nº 25, de 14 de fevereiro de 2000.</w:t>
      </w:r>
    </w:p>
    <w:p w:rsidR="0017644C" w:rsidRDefault="0017644C" w:rsidP="0017644C">
      <w:pPr>
        <w:tabs>
          <w:tab w:val="center" w:pos="1080"/>
        </w:tabs>
        <w:spacing w:after="0" w:line="276" w:lineRule="auto"/>
        <w:jc w:val="both"/>
        <w:rPr>
          <w:rFonts w:ascii="Book Antiqua" w:hAnsi="Book Antiqua" w:cs="Arial"/>
          <w:color w:val="000000"/>
          <w:sz w:val="20"/>
          <w:szCs w:val="20"/>
        </w:rPr>
      </w:pPr>
    </w:p>
    <w:p w:rsidR="0017644C" w:rsidRDefault="0017644C" w:rsidP="0017644C">
      <w:pPr>
        <w:tabs>
          <w:tab w:val="center" w:pos="1080"/>
        </w:tabs>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6º</w:t>
      </w:r>
      <w:r>
        <w:rPr>
          <w:rFonts w:ascii="Book Antiqua" w:hAnsi="Book Antiqua" w:cs="Arial"/>
          <w:color w:val="000000"/>
          <w:sz w:val="20"/>
          <w:szCs w:val="20"/>
        </w:rPr>
        <w:t xml:space="preserve"> - A Lei Orçamentária dispensará, na fixação das despesas e na sua estimativa da receita, atenção aos princípios de:</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pStyle w:val="PargrafodaLista"/>
        <w:numPr>
          <w:ilvl w:val="0"/>
          <w:numId w:val="1"/>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Prioridade de investimentos nas áreas sociais;</w:t>
      </w:r>
    </w:p>
    <w:p w:rsidR="0017644C" w:rsidRDefault="0017644C" w:rsidP="0017644C">
      <w:pPr>
        <w:pStyle w:val="PargrafodaLista"/>
        <w:numPr>
          <w:ilvl w:val="0"/>
          <w:numId w:val="1"/>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Austeridade na gestão dos recursos públicos;</w:t>
      </w:r>
    </w:p>
    <w:p w:rsidR="0017644C" w:rsidRDefault="0017644C" w:rsidP="0017644C">
      <w:pPr>
        <w:pStyle w:val="PargrafodaLista"/>
        <w:numPr>
          <w:ilvl w:val="0"/>
          <w:numId w:val="1"/>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Modernização na ação governamental;</w:t>
      </w:r>
    </w:p>
    <w:p w:rsidR="0017644C" w:rsidRDefault="0017644C" w:rsidP="0017644C">
      <w:pPr>
        <w:pStyle w:val="PargrafodaLista"/>
        <w:numPr>
          <w:ilvl w:val="0"/>
          <w:numId w:val="1"/>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Princípio do equilíbrio orçamentário, tanto na previsão como na execução orçamentária;</w:t>
      </w:r>
    </w:p>
    <w:p w:rsidR="0017644C" w:rsidRDefault="0017644C" w:rsidP="0017644C">
      <w:pPr>
        <w:pStyle w:val="PargrafodaLista"/>
        <w:numPr>
          <w:ilvl w:val="0"/>
          <w:numId w:val="1"/>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A discriminação da despesa, quanto à sua natureza, far-se-á no mínimo, por categoria econômica, grupo de natureza de despesa e modalidade de aplicação e elemento de despesa, nos termos do art. 6º da Portaria Interministerial nº 163, de 04 de maio de 2001 e art. 15 da Lei Federal nº 4.320, de 17 de março de 1964.</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olor w:val="000000"/>
          <w:sz w:val="20"/>
          <w:szCs w:val="20"/>
        </w:rPr>
      </w:pPr>
      <w:r>
        <w:rPr>
          <w:rFonts w:ascii="Book Antiqua" w:hAnsi="Book Antiqua" w:cs="Arial"/>
          <w:b/>
          <w:color w:val="000000"/>
          <w:sz w:val="20"/>
          <w:szCs w:val="20"/>
        </w:rPr>
        <w:t>Art. 7º</w:t>
      </w:r>
      <w:r>
        <w:rPr>
          <w:rFonts w:ascii="Book Antiqua" w:hAnsi="Book Antiqua" w:cs="Arial"/>
          <w:color w:val="000000"/>
          <w:sz w:val="20"/>
          <w:szCs w:val="20"/>
        </w:rPr>
        <w:t xml:space="preserve"> </w:t>
      </w:r>
      <w:r>
        <w:rPr>
          <w:rFonts w:ascii="Book Antiqua" w:hAnsi="Book Antiqua"/>
          <w:color w:val="000000"/>
          <w:sz w:val="20"/>
          <w:szCs w:val="20"/>
        </w:rPr>
        <w:t>Poderá ser criado no exercício de 2022, cargos para suprir as necessidades de demanda dos serviços municipais, reestruturar e alterar os cargos já existentes, bem como realização de concurso público ou processo seletivo para preenchimento de cargos ou funções públicas.</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spacing w:after="0" w:line="276" w:lineRule="auto"/>
        <w:jc w:val="both"/>
        <w:rPr>
          <w:rFonts w:ascii="Book Antiqua" w:hAnsi="Book Antiqua"/>
          <w:color w:val="000000"/>
          <w:sz w:val="20"/>
          <w:szCs w:val="20"/>
        </w:rPr>
      </w:pPr>
      <w:r>
        <w:rPr>
          <w:rFonts w:ascii="Book Antiqua" w:hAnsi="Book Antiqua" w:cs="Arial"/>
          <w:b/>
          <w:bCs/>
          <w:color w:val="000000"/>
          <w:sz w:val="20"/>
          <w:szCs w:val="20"/>
        </w:rPr>
        <w:t xml:space="preserve">Parágrafo </w:t>
      </w:r>
      <w:r>
        <w:rPr>
          <w:rFonts w:ascii="Book Antiqua" w:hAnsi="Book Antiqua"/>
          <w:b/>
          <w:color w:val="000000"/>
          <w:sz w:val="20"/>
          <w:szCs w:val="20"/>
        </w:rPr>
        <w:t>Único</w:t>
      </w:r>
      <w:r>
        <w:rPr>
          <w:rFonts w:ascii="Book Antiqua" w:hAnsi="Book Antiqua"/>
          <w:color w:val="000000"/>
          <w:sz w:val="20"/>
          <w:szCs w:val="20"/>
        </w:rPr>
        <w:t xml:space="preserve">. A lei que criar os cargos deverá demonstrar o impacto orçamentário e financeiro, nos termos do art. 16 da Lei de Responsabilidade Fiscal. </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olor w:val="000000"/>
          <w:sz w:val="20"/>
          <w:szCs w:val="20"/>
        </w:rPr>
      </w:pPr>
      <w:r>
        <w:rPr>
          <w:rFonts w:ascii="Book Antiqua" w:hAnsi="Book Antiqua"/>
          <w:b/>
          <w:color w:val="000000"/>
          <w:sz w:val="20"/>
          <w:szCs w:val="20"/>
        </w:rPr>
        <w:t>Art. 8º</w:t>
      </w:r>
      <w:r>
        <w:rPr>
          <w:rFonts w:ascii="Book Antiqua" w:hAnsi="Book Antiqua"/>
          <w:color w:val="000000"/>
          <w:sz w:val="20"/>
          <w:szCs w:val="20"/>
        </w:rPr>
        <w:t xml:space="preserve"> O Poder Executivo poderá enviar ao legislativo projeto de lei concedendo desconto parcial, progressivo ou total e isenção total do pagamento de receita tributária acessória (multa e juros) de débitos inscritos em Dívida Ativa Tributária ou não, em caráter geral, através de programa de Refinanciamento da Dívida, bem como de concessão de moratória, abrindo novos prazos para parcelamento.</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spacing w:after="0" w:line="276" w:lineRule="auto"/>
        <w:jc w:val="both"/>
        <w:rPr>
          <w:rFonts w:ascii="Book Antiqua" w:hAnsi="Book Antiqua"/>
          <w:color w:val="000000"/>
          <w:sz w:val="20"/>
          <w:szCs w:val="20"/>
        </w:rPr>
      </w:pPr>
      <w:r>
        <w:rPr>
          <w:rFonts w:ascii="Book Antiqua" w:hAnsi="Book Antiqua"/>
          <w:b/>
          <w:color w:val="000000"/>
          <w:sz w:val="20"/>
          <w:szCs w:val="20"/>
        </w:rPr>
        <w:t>Parágrafo Único.</w:t>
      </w:r>
      <w:r>
        <w:rPr>
          <w:rFonts w:ascii="Book Antiqua" w:hAnsi="Book Antiqua"/>
          <w:color w:val="000000"/>
          <w:sz w:val="20"/>
          <w:szCs w:val="20"/>
        </w:rPr>
        <w:t xml:space="preserve"> A lei que conceder a isenção deverá estar acompanhada de demonstrativo de renúncia de receita, nos termos da Lei de Responsabilidade Fiscal. </w:t>
      </w:r>
    </w:p>
    <w:p w:rsidR="0017644C" w:rsidRDefault="0017644C" w:rsidP="0017644C">
      <w:pPr>
        <w:tabs>
          <w:tab w:val="center" w:pos="1080"/>
        </w:tabs>
        <w:spacing w:after="0" w:line="276" w:lineRule="auto"/>
        <w:jc w:val="both"/>
        <w:rPr>
          <w:rFonts w:ascii="Book Antiqua" w:hAnsi="Book Antiqua" w:cs="Arial"/>
          <w:color w:val="000000"/>
          <w:sz w:val="20"/>
          <w:szCs w:val="20"/>
        </w:rPr>
      </w:pPr>
    </w:p>
    <w:p w:rsidR="0017644C" w:rsidRDefault="0017644C" w:rsidP="0017644C">
      <w:pPr>
        <w:keepNext/>
        <w:spacing w:after="0" w:line="276" w:lineRule="auto"/>
        <w:jc w:val="center"/>
        <w:outlineLvl w:val="1"/>
        <w:rPr>
          <w:rFonts w:ascii="Book Antiqua" w:hAnsi="Book Antiqua" w:cs="Arial"/>
          <w:b/>
          <w:bCs/>
          <w:color w:val="000000"/>
          <w:sz w:val="20"/>
          <w:szCs w:val="20"/>
        </w:rPr>
      </w:pPr>
      <w:r>
        <w:rPr>
          <w:rFonts w:ascii="Book Antiqua" w:hAnsi="Book Antiqua" w:cs="Arial"/>
          <w:b/>
          <w:bCs/>
          <w:color w:val="000000"/>
          <w:sz w:val="20"/>
          <w:szCs w:val="20"/>
        </w:rPr>
        <w:t>CAPÍTULO II</w:t>
      </w:r>
    </w:p>
    <w:p w:rsidR="0017644C" w:rsidRDefault="0017644C" w:rsidP="0017644C">
      <w:pPr>
        <w:tabs>
          <w:tab w:val="center" w:pos="1080"/>
        </w:tabs>
        <w:spacing w:after="0" w:line="276" w:lineRule="auto"/>
        <w:jc w:val="center"/>
        <w:rPr>
          <w:rFonts w:ascii="Book Antiqua" w:hAnsi="Book Antiqua" w:cs="Arial"/>
          <w:color w:val="000000"/>
          <w:sz w:val="20"/>
          <w:szCs w:val="20"/>
          <w:u w:val="single"/>
        </w:rPr>
      </w:pPr>
      <w:r>
        <w:rPr>
          <w:rFonts w:ascii="Book Antiqua" w:hAnsi="Book Antiqua" w:cs="Arial"/>
          <w:color w:val="000000"/>
          <w:sz w:val="20"/>
          <w:szCs w:val="20"/>
          <w:u w:val="single"/>
        </w:rPr>
        <w:t>DAS METAS FISCAIS</w:t>
      </w:r>
    </w:p>
    <w:p w:rsidR="0017644C" w:rsidRDefault="0017644C" w:rsidP="0017644C">
      <w:pPr>
        <w:tabs>
          <w:tab w:val="center" w:pos="1080"/>
        </w:tabs>
        <w:spacing w:after="0" w:line="276" w:lineRule="auto"/>
        <w:jc w:val="both"/>
        <w:rPr>
          <w:rFonts w:ascii="Book Antiqua" w:hAnsi="Book Antiqua" w:cs="Arial"/>
          <w:color w:val="000000"/>
          <w:sz w:val="20"/>
          <w:szCs w:val="20"/>
          <w:u w:val="single"/>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9º</w:t>
      </w:r>
      <w:r>
        <w:rPr>
          <w:rFonts w:ascii="Book Antiqua" w:hAnsi="Book Antiqua" w:cs="Arial"/>
          <w:color w:val="000000"/>
          <w:sz w:val="20"/>
          <w:szCs w:val="20"/>
        </w:rPr>
        <w:t xml:space="preserve"> As despesas com pessoal e encargos, não poderão ter acréscimo real em relação aos créditos correspondentes e, os aumentos para o exercício ficarão condicionados à existência de recursos, expressa autorização legislativa, às disposições emitidas no art. 169 da Constituição Federal e no inciso </w:t>
      </w:r>
      <w:r>
        <w:rPr>
          <w:rFonts w:ascii="Book Antiqua" w:hAnsi="Book Antiqua" w:cs="Arial"/>
          <w:color w:val="000000"/>
          <w:sz w:val="20"/>
          <w:szCs w:val="20"/>
        </w:rPr>
        <w:lastRenderedPageBreak/>
        <w:t xml:space="preserve">III do art. 20 da </w:t>
      </w:r>
      <w:r>
        <w:rPr>
          <w:rFonts w:ascii="Book Antiqua" w:hAnsi="Book Antiqua"/>
          <w:color w:val="000000"/>
          <w:sz w:val="20"/>
          <w:szCs w:val="20"/>
        </w:rPr>
        <w:t>Lei de Responsabilidade Fiscal</w:t>
      </w:r>
      <w:r>
        <w:rPr>
          <w:rFonts w:ascii="Book Antiqua" w:hAnsi="Book Antiqua" w:cs="Arial"/>
          <w:color w:val="000000"/>
          <w:sz w:val="20"/>
          <w:szCs w:val="20"/>
        </w:rPr>
        <w:t>, não podendo exceder o limite de 54% (cinquenta e quatro por cento) ao Executivo e 6% (seis por cento) ao Legislativo da Receita Corrente Líquida.</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b/>
          <w:color w:val="000000"/>
          <w:sz w:val="20"/>
          <w:szCs w:val="20"/>
        </w:rPr>
        <w:t>Parágrafo Único.</w:t>
      </w:r>
      <w:r>
        <w:rPr>
          <w:rFonts w:ascii="Book Antiqua" w:hAnsi="Book Antiqua"/>
          <w:color w:val="000000"/>
          <w:sz w:val="20"/>
          <w:szCs w:val="20"/>
        </w:rPr>
        <w:t xml:space="preserve"> </w:t>
      </w:r>
      <w:r>
        <w:rPr>
          <w:rFonts w:ascii="Book Antiqua" w:hAnsi="Book Antiqua" w:cs="Arial"/>
          <w:color w:val="000000"/>
          <w:sz w:val="20"/>
          <w:szCs w:val="20"/>
        </w:rPr>
        <w:t xml:space="preserve">Se a despesa de pessoal atingir o nível de que trata o parágrafo único do art. 22 da </w:t>
      </w:r>
      <w:r>
        <w:rPr>
          <w:rFonts w:ascii="Book Antiqua" w:hAnsi="Book Antiqua"/>
          <w:color w:val="000000"/>
          <w:sz w:val="20"/>
          <w:szCs w:val="20"/>
        </w:rPr>
        <w:t>Lei de Responsabilidade Fiscal</w:t>
      </w:r>
      <w:r>
        <w:rPr>
          <w:rFonts w:ascii="Book Antiqua" w:hAnsi="Book Antiqua" w:cs="Arial"/>
          <w:color w:val="000000"/>
          <w:sz w:val="20"/>
          <w:szCs w:val="20"/>
        </w:rPr>
        <w:t>, a contratação de hora extra fica restrita à necessidade decorrente de calamidade pública, devidamente reconhecida por decreto, ou às hipóteses de serviços essenciais ou inadiáveis, em qualquer situação, com autorização expressa do Chefe do Executivo.</w:t>
      </w:r>
    </w:p>
    <w:p w:rsidR="0017644C" w:rsidRDefault="0017644C" w:rsidP="0017644C">
      <w:pPr>
        <w:tabs>
          <w:tab w:val="center" w:pos="1080"/>
        </w:tabs>
        <w:spacing w:after="0" w:line="276" w:lineRule="auto"/>
        <w:jc w:val="both"/>
        <w:rPr>
          <w:rFonts w:ascii="Book Antiqua" w:hAnsi="Book Antiqua" w:cs="Arial"/>
          <w:color w:val="000000"/>
          <w:sz w:val="20"/>
          <w:szCs w:val="20"/>
          <w:u w:val="single"/>
        </w:rPr>
      </w:pPr>
    </w:p>
    <w:p w:rsidR="0017644C" w:rsidRDefault="0017644C" w:rsidP="0017644C">
      <w:pPr>
        <w:tabs>
          <w:tab w:val="center" w:pos="900"/>
        </w:tabs>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10</w:t>
      </w:r>
      <w:r>
        <w:rPr>
          <w:rFonts w:ascii="Book Antiqua" w:hAnsi="Book Antiqua" w:cs="Arial"/>
          <w:color w:val="000000"/>
          <w:sz w:val="20"/>
          <w:szCs w:val="20"/>
        </w:rPr>
        <w:t xml:space="preserve"> A proposta orçamentária anual atenderá às diretrizes gerais e aos princípios de unidade, universalidade e anualidade, não podendo o montante das despesas fixadas exceder a provisão da receita para o exercício.</w:t>
      </w:r>
    </w:p>
    <w:p w:rsidR="0017644C" w:rsidRDefault="0017644C" w:rsidP="0017644C">
      <w:pPr>
        <w:tabs>
          <w:tab w:val="center" w:pos="1080"/>
        </w:tabs>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11</w:t>
      </w:r>
      <w:r>
        <w:rPr>
          <w:rFonts w:ascii="Book Antiqua" w:hAnsi="Book Antiqua" w:cs="Arial"/>
          <w:color w:val="000000"/>
          <w:sz w:val="20"/>
          <w:szCs w:val="20"/>
        </w:rPr>
        <w:t xml:space="preserve"> As receitas e as despesas serão estimadas tomando-se por base o disposto no art. 12 da </w:t>
      </w:r>
      <w:r>
        <w:rPr>
          <w:rFonts w:ascii="Book Antiqua" w:hAnsi="Book Antiqua"/>
          <w:color w:val="000000"/>
          <w:sz w:val="20"/>
          <w:szCs w:val="20"/>
        </w:rPr>
        <w:t>Lei de Responsabilidade Fiscal</w:t>
      </w:r>
      <w:r>
        <w:rPr>
          <w:rFonts w:ascii="Book Antiqua" w:hAnsi="Book Antiqua" w:cs="Arial"/>
          <w:color w:val="000000"/>
          <w:sz w:val="20"/>
          <w:szCs w:val="20"/>
        </w:rPr>
        <w:t>, índice de inflação apurado nos últimos doze meses, a tendência e o comportamento da arrecadação municipal mês a mês, tendo em vista principalmente os reflexos dos planos de estabilização econômica editados pelo Governo Federal.</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1º</w:t>
      </w:r>
      <w:r>
        <w:rPr>
          <w:rFonts w:ascii="Book Antiqua" w:hAnsi="Book Antiqua" w:cs="Arial"/>
          <w:color w:val="000000"/>
          <w:sz w:val="20"/>
          <w:szCs w:val="20"/>
        </w:rPr>
        <w:t xml:space="preserve"> A estimativa da receita que constará do projeto de Lei Orçamentária para o exercício de 2022, contemplará medidas de aperfeiçoamento da administração dos tributos municipais, com vistas à expansão de base de tributação e consequente aumento das receitas próprias.</w:t>
      </w:r>
    </w:p>
    <w:p w:rsidR="0017644C" w:rsidRDefault="0017644C" w:rsidP="0017644C">
      <w:pPr>
        <w:tabs>
          <w:tab w:val="center" w:pos="1980"/>
        </w:tabs>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2º</w:t>
      </w:r>
      <w:r>
        <w:rPr>
          <w:rFonts w:ascii="Book Antiqua" w:hAnsi="Book Antiqua" w:cs="Arial"/>
          <w:color w:val="000000"/>
          <w:sz w:val="20"/>
          <w:szCs w:val="20"/>
        </w:rPr>
        <w:t xml:space="preserve"> A estimativa da receita citada no parágrafo anterior levará em consideração, adicionalmente, o impacto de alteração na legislação tributária, observadas a capacidade econômica do contribuinte e a justa distribuição de renda, com destaque para a:</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pStyle w:val="PargrafodaLista"/>
        <w:numPr>
          <w:ilvl w:val="0"/>
          <w:numId w:val="2"/>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Atualização dos elementos físicos das unidades imobiliárias;</w:t>
      </w:r>
    </w:p>
    <w:p w:rsidR="0017644C" w:rsidRDefault="0017644C" w:rsidP="0017644C">
      <w:pPr>
        <w:pStyle w:val="PargrafodaLista"/>
        <w:numPr>
          <w:ilvl w:val="0"/>
          <w:numId w:val="2"/>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Edição de uma planta genérica de valores de forma a minimizar a diferença entre as alíquotas nominais e as efetivas;</w:t>
      </w:r>
    </w:p>
    <w:p w:rsidR="0017644C" w:rsidRDefault="0017644C" w:rsidP="0017644C">
      <w:pPr>
        <w:pStyle w:val="PargrafodaLista"/>
        <w:numPr>
          <w:ilvl w:val="0"/>
          <w:numId w:val="2"/>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Expansão do número de contribuintes;</w:t>
      </w:r>
    </w:p>
    <w:p w:rsidR="0017644C" w:rsidRDefault="0017644C" w:rsidP="0017644C">
      <w:pPr>
        <w:pStyle w:val="PargrafodaLista"/>
        <w:numPr>
          <w:ilvl w:val="0"/>
          <w:numId w:val="2"/>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Atualização do cadastro imobiliário fiscal.</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3º</w:t>
      </w:r>
      <w:r>
        <w:rPr>
          <w:rFonts w:ascii="Book Antiqua" w:hAnsi="Book Antiqua" w:cs="Arial"/>
          <w:color w:val="000000"/>
          <w:sz w:val="20"/>
          <w:szCs w:val="20"/>
        </w:rPr>
        <w:t xml:space="preserve"> As taxas de polícia administrativa e de serviços públicos deverão remunerar a atividade municipal de maneira a equilibrar as respectivas despesas.</w:t>
      </w:r>
    </w:p>
    <w:p w:rsidR="0017644C" w:rsidRDefault="0017644C" w:rsidP="0017644C">
      <w:pPr>
        <w:tabs>
          <w:tab w:val="center" w:pos="1980"/>
        </w:tabs>
        <w:spacing w:after="0" w:line="276" w:lineRule="auto"/>
        <w:jc w:val="both"/>
        <w:rPr>
          <w:rFonts w:ascii="Book Antiqua" w:hAnsi="Book Antiqua" w:cs="Arial"/>
          <w:color w:val="000000"/>
          <w:sz w:val="20"/>
          <w:szCs w:val="20"/>
        </w:rPr>
      </w:pPr>
    </w:p>
    <w:p w:rsidR="0017644C" w:rsidRDefault="0017644C" w:rsidP="0017644C">
      <w:pPr>
        <w:tabs>
          <w:tab w:val="center" w:pos="1980"/>
        </w:tabs>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4º</w:t>
      </w:r>
      <w:r>
        <w:rPr>
          <w:rFonts w:ascii="Book Antiqua" w:hAnsi="Book Antiqua" w:cs="Arial"/>
          <w:color w:val="000000"/>
          <w:sz w:val="20"/>
          <w:szCs w:val="20"/>
        </w:rPr>
        <w:t xml:space="preserve"> Os tributos cujo recolhimento poderá ser efetuado em parcelas serão corrigidos monetariamente segundo a variação estabelecida pela Unidade Fiscal do Município – UFM.</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5º</w:t>
      </w:r>
      <w:r>
        <w:rPr>
          <w:rFonts w:ascii="Book Antiqua" w:hAnsi="Book Antiqua" w:cs="Arial"/>
          <w:color w:val="000000"/>
          <w:sz w:val="20"/>
          <w:szCs w:val="20"/>
        </w:rPr>
        <w:t xml:space="preserve"> Nenhum compromisso será assumido sem que exista dotação orçamentária e recursos financeiros previstos na programação de desembolso, e a inscrição de Restos a Pagar estará limitada ao montante das disponibilidades de caixa, conforme preceito da </w:t>
      </w:r>
      <w:r>
        <w:rPr>
          <w:rFonts w:ascii="Book Antiqua" w:hAnsi="Book Antiqua"/>
          <w:color w:val="000000"/>
          <w:sz w:val="20"/>
          <w:szCs w:val="20"/>
        </w:rPr>
        <w:t>Lei de Responsabilidade Fiscal</w:t>
      </w:r>
      <w:r>
        <w:rPr>
          <w:rFonts w:ascii="Book Antiqua" w:hAnsi="Book Antiqua" w:cs="Arial"/>
          <w:color w:val="000000"/>
          <w:sz w:val="20"/>
          <w:szCs w:val="20"/>
        </w:rPr>
        <w:t>.</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6º</w:t>
      </w:r>
      <w:r>
        <w:rPr>
          <w:rFonts w:ascii="Book Antiqua" w:hAnsi="Book Antiqua" w:cs="Arial"/>
          <w:color w:val="000000"/>
          <w:sz w:val="20"/>
          <w:szCs w:val="20"/>
        </w:rPr>
        <w:t xml:space="preserve"> A contabilidade registrará os atos e fatos relativos à gestão orçamentária-financeira ocorridos, sem prejuízo das responsabilidades e providências derivadas na inobservância do parágrafo anterior.</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lastRenderedPageBreak/>
        <w:t>Art. 12</w:t>
      </w:r>
      <w:r>
        <w:rPr>
          <w:rFonts w:ascii="Book Antiqua" w:hAnsi="Book Antiqua" w:cs="Arial"/>
          <w:color w:val="000000"/>
          <w:sz w:val="20"/>
          <w:szCs w:val="20"/>
        </w:rPr>
        <w:t xml:space="preserve"> O Poder Executivo é autorizado a:</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pStyle w:val="PargrafodaLista"/>
        <w:numPr>
          <w:ilvl w:val="0"/>
          <w:numId w:val="3"/>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Realizar operações de crédito por antecipação da receita, nos termos da legislação em vigor;</w:t>
      </w:r>
    </w:p>
    <w:p w:rsidR="0017644C" w:rsidRDefault="0017644C" w:rsidP="0017644C">
      <w:pPr>
        <w:pStyle w:val="PargrafodaLista"/>
        <w:numPr>
          <w:ilvl w:val="0"/>
          <w:numId w:val="3"/>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Realizar operações de crédito, interna e externa, até o limite estabelecido pela legislação em vigor;</w:t>
      </w:r>
    </w:p>
    <w:p w:rsidR="0017644C" w:rsidRDefault="0017644C" w:rsidP="0017644C">
      <w:pPr>
        <w:pStyle w:val="PargrafodaLista"/>
        <w:numPr>
          <w:ilvl w:val="0"/>
          <w:numId w:val="3"/>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Realizar, até o limite de 20% (vinte por cento), transposições, remanejamentos e transferências de recursos de uma categoria de programação para outra ou de um órgão para outro, nos termos do inciso VI, do artigo 167, da Constituição Federal;</w:t>
      </w:r>
    </w:p>
    <w:p w:rsidR="0017644C" w:rsidRDefault="0017644C" w:rsidP="0017644C">
      <w:pPr>
        <w:pStyle w:val="PargrafodaLista"/>
        <w:numPr>
          <w:ilvl w:val="0"/>
          <w:numId w:val="3"/>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Abrir créditos adicionais suplementares até o limite de 20% (vinte por cento) do orçamento das despesas, nos termos da legislação vigente;</w:t>
      </w:r>
    </w:p>
    <w:p w:rsidR="0017644C" w:rsidRDefault="0017644C" w:rsidP="0017644C">
      <w:pPr>
        <w:pStyle w:val="PargrafodaLista"/>
        <w:numPr>
          <w:ilvl w:val="0"/>
          <w:numId w:val="3"/>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Contingenciar parte das dotações, quando a evolução da receita comprometer os resultados previstos.</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1º</w:t>
      </w:r>
      <w:r>
        <w:rPr>
          <w:rFonts w:ascii="Book Antiqua" w:hAnsi="Book Antiqua" w:cs="Arial"/>
          <w:color w:val="000000"/>
          <w:sz w:val="20"/>
          <w:szCs w:val="20"/>
        </w:rPr>
        <w:t xml:space="preserve"> Não onerarão o limite previsto no inciso IV, os créditos destinados a suprir insuficiência nas dotações orçamentárias relativas a pessoal, inativos e pensionistas, dívida pública, débitos constantes de precatórios judiciais e despesas à conta de recursos vinculados, até 10% (dez por cento) do valor previsto para a despesa.</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2º</w:t>
      </w:r>
      <w:r>
        <w:rPr>
          <w:rFonts w:ascii="Book Antiqua" w:hAnsi="Book Antiqua" w:cs="Arial"/>
          <w:color w:val="000000"/>
          <w:sz w:val="20"/>
          <w:szCs w:val="20"/>
        </w:rPr>
        <w:t xml:space="preserve"> Os créditos adicionais suplementares, abertos até o limite do inciso IV, e as alterações orçamentárias efetuadas por meio de transposição, remanejamento e transferência, até o limite do inciso III, ficam incluídos automaticamente no Plano Plurianual e Lei de Diretrizes Orçamentárias vigentes e seus anexos.</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3º</w:t>
      </w:r>
      <w:r>
        <w:rPr>
          <w:rFonts w:ascii="Book Antiqua" w:hAnsi="Book Antiqua" w:cs="Arial"/>
          <w:color w:val="000000"/>
          <w:sz w:val="20"/>
          <w:szCs w:val="20"/>
        </w:rPr>
        <w:t xml:space="preserve"> As suplementações do Poder Legislativo ocorrerão na forma deste artigo, através de ato próprio daquele Poder, devendo ser referendado por Decreto do Poder Executivo, no prazo máximo de 03 (três) dias, a contar de seu recebimento, devendo a abertura ocorrer somente após a emissão do referido Decreto.</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color w:val="000000"/>
          <w:sz w:val="20"/>
          <w:szCs w:val="20"/>
        </w:rPr>
        <w:t>§ 4º</w:t>
      </w:r>
      <w:r>
        <w:rPr>
          <w:rFonts w:ascii="Book Antiqua" w:hAnsi="Book Antiqua" w:cs="Arial"/>
          <w:color w:val="000000"/>
          <w:sz w:val="20"/>
          <w:szCs w:val="20"/>
        </w:rPr>
        <w:t xml:space="preserve"> Para os efeitos desta Lei, entende-se por:</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pStyle w:val="PargrafodaLista"/>
        <w:numPr>
          <w:ilvl w:val="0"/>
          <w:numId w:val="4"/>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Transposição: o deslocamento de dotações orçamentárias entre categorias de programação do mesmo órgão;</w:t>
      </w:r>
    </w:p>
    <w:p w:rsidR="0017644C" w:rsidRDefault="0017644C" w:rsidP="0017644C">
      <w:pPr>
        <w:pStyle w:val="PargrafodaLista"/>
        <w:numPr>
          <w:ilvl w:val="0"/>
          <w:numId w:val="4"/>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Remanejamento: o deslocamento de dotações orçamentárias de um órgão para outro;</w:t>
      </w:r>
    </w:p>
    <w:p w:rsidR="0017644C" w:rsidRDefault="0017644C" w:rsidP="0017644C">
      <w:pPr>
        <w:pStyle w:val="PargrafodaLista"/>
        <w:numPr>
          <w:ilvl w:val="0"/>
          <w:numId w:val="4"/>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Transferência: o deslocamento de dotações orçamentárias de uma categoria econômica para outra, no mesmo órgão e na mesma categoria de programação;</w:t>
      </w:r>
    </w:p>
    <w:p w:rsidR="0017644C" w:rsidRDefault="0017644C" w:rsidP="0017644C">
      <w:pPr>
        <w:pStyle w:val="PargrafodaLista"/>
        <w:numPr>
          <w:ilvl w:val="0"/>
          <w:numId w:val="4"/>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 xml:space="preserve">Categoria de programação: classificação da despesa por função, </w:t>
      </w:r>
      <w:proofErr w:type="spellStart"/>
      <w:r>
        <w:rPr>
          <w:rFonts w:ascii="Book Antiqua" w:hAnsi="Book Antiqua" w:cs="Arial"/>
          <w:color w:val="000000"/>
          <w:sz w:val="20"/>
          <w:szCs w:val="20"/>
        </w:rPr>
        <w:t>subfunção</w:t>
      </w:r>
      <w:proofErr w:type="spellEnd"/>
      <w:r>
        <w:rPr>
          <w:rFonts w:ascii="Book Antiqua" w:hAnsi="Book Antiqua" w:cs="Arial"/>
          <w:color w:val="000000"/>
          <w:sz w:val="20"/>
          <w:szCs w:val="20"/>
        </w:rPr>
        <w:t>, programa, projeto, atividade e operação especial;</w:t>
      </w:r>
    </w:p>
    <w:p w:rsidR="0017644C" w:rsidRDefault="0017644C" w:rsidP="0017644C">
      <w:pPr>
        <w:pStyle w:val="PargrafodaLista"/>
        <w:numPr>
          <w:ilvl w:val="0"/>
          <w:numId w:val="4"/>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Categoria econômica: classificação entre despesas correntes e despesas de capital.</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13</w:t>
      </w:r>
      <w:r>
        <w:rPr>
          <w:rFonts w:ascii="Book Antiqua" w:hAnsi="Book Antiqua" w:cs="Arial"/>
          <w:color w:val="000000"/>
          <w:sz w:val="20"/>
          <w:szCs w:val="20"/>
        </w:rPr>
        <w:t xml:space="preserve"> Nas hipóteses de ocorrência das circunstâncias estabelecidas no “caput” do artigo 9º, e no inciso II do § 1º do artigo 31, todos da </w:t>
      </w:r>
      <w:r>
        <w:rPr>
          <w:rFonts w:ascii="Book Antiqua" w:hAnsi="Book Antiqua"/>
          <w:color w:val="000000"/>
          <w:sz w:val="20"/>
          <w:szCs w:val="20"/>
        </w:rPr>
        <w:t>Lei de Responsabilidade Fiscal</w:t>
      </w:r>
      <w:r>
        <w:rPr>
          <w:rFonts w:ascii="Book Antiqua" w:hAnsi="Book Antiqua" w:cs="Arial"/>
          <w:color w:val="000000"/>
          <w:sz w:val="20"/>
          <w:szCs w:val="20"/>
        </w:rPr>
        <w:t>, o Poder Executivo e o Poder Legislativo procederão à respectiva limitação de empenho e de movimentação financeira, podendo definir percentuais específicos, para o conjunto de projetos, atividades e operações especiais.</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lastRenderedPageBreak/>
        <w:t>§ 1º</w:t>
      </w:r>
      <w:r>
        <w:rPr>
          <w:rFonts w:ascii="Book Antiqua" w:hAnsi="Book Antiqua" w:cs="Arial"/>
          <w:color w:val="000000"/>
          <w:sz w:val="20"/>
          <w:szCs w:val="20"/>
        </w:rPr>
        <w:t xml:space="preserve"> Excluem do “caput” deste artigo as despesas que constituem obrigações constitucionais e legais do município e as despesas destinadas ao pagamento dos serviços da dívida.</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2º</w:t>
      </w:r>
      <w:r>
        <w:rPr>
          <w:rFonts w:ascii="Book Antiqua" w:hAnsi="Book Antiqua" w:cs="Arial"/>
          <w:color w:val="000000"/>
          <w:sz w:val="20"/>
          <w:szCs w:val="20"/>
        </w:rPr>
        <w:t xml:space="preserve"> No caso de limitação de empenhos e de movimentação financeira de que trata o “caput” deste artigo, buscar-se-á preservar as despesas abaixo hierarquizadas:</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pStyle w:val="PargrafodaLista"/>
        <w:numPr>
          <w:ilvl w:val="0"/>
          <w:numId w:val="5"/>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Com pessoal e encargos patronais;</w:t>
      </w:r>
    </w:p>
    <w:p w:rsidR="0017644C" w:rsidRDefault="0017644C" w:rsidP="0017644C">
      <w:pPr>
        <w:pStyle w:val="PargrafodaLista"/>
        <w:numPr>
          <w:ilvl w:val="0"/>
          <w:numId w:val="5"/>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 xml:space="preserve">Com a conservação do patrimônio público, conforme prevê o disposto no artigo 45 da </w:t>
      </w:r>
      <w:r>
        <w:rPr>
          <w:rFonts w:ascii="Book Antiqua" w:hAnsi="Book Antiqua"/>
          <w:color w:val="000000"/>
          <w:sz w:val="20"/>
          <w:szCs w:val="20"/>
        </w:rPr>
        <w:t>Lei de Responsabilidade Fiscal</w:t>
      </w:r>
      <w:r>
        <w:rPr>
          <w:rFonts w:ascii="Book Antiqua" w:hAnsi="Book Antiqua" w:cs="Arial"/>
          <w:color w:val="000000"/>
          <w:sz w:val="20"/>
          <w:szCs w:val="20"/>
        </w:rPr>
        <w:t>.</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 3º</w:t>
      </w:r>
      <w:r>
        <w:rPr>
          <w:rFonts w:ascii="Book Antiqua" w:hAnsi="Book Antiqua" w:cs="Arial"/>
          <w:color w:val="000000"/>
          <w:sz w:val="20"/>
          <w:szCs w:val="20"/>
        </w:rPr>
        <w:t xml:space="preserve"> Na hipótese de ocorrência do disposto no “caput” deste artigo, o Poder Executivo comunicará ao Poder Legislativo o montante que lhe caberá tornar indisponível para empenho e a movimentação financeira.</w:t>
      </w:r>
    </w:p>
    <w:p w:rsidR="0017644C" w:rsidRDefault="0017644C" w:rsidP="0017644C">
      <w:pPr>
        <w:spacing w:after="0" w:line="276" w:lineRule="auto"/>
        <w:jc w:val="both"/>
        <w:rPr>
          <w:rFonts w:ascii="Book Antiqua" w:hAnsi="Book Antiqua" w:cs="Arial"/>
          <w:bCs/>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14</w:t>
      </w:r>
      <w:r>
        <w:rPr>
          <w:rFonts w:ascii="Book Antiqua" w:hAnsi="Book Antiqua" w:cs="Arial"/>
          <w:color w:val="000000"/>
          <w:sz w:val="20"/>
          <w:szCs w:val="20"/>
        </w:rPr>
        <w:t xml:space="preserve"> Além da observância das prioridades e metas fixadas nesta lei, a Lei Orçamentária e seus créditos adicionais, observado o disposto no art. 45 da </w:t>
      </w:r>
      <w:r>
        <w:rPr>
          <w:rFonts w:ascii="Book Antiqua" w:hAnsi="Book Antiqua"/>
          <w:color w:val="000000"/>
          <w:sz w:val="20"/>
          <w:szCs w:val="20"/>
        </w:rPr>
        <w:t>Lei de Responsabilidade Fiscal</w:t>
      </w:r>
      <w:r>
        <w:rPr>
          <w:rFonts w:ascii="Book Antiqua" w:hAnsi="Book Antiqua" w:cs="Arial"/>
          <w:color w:val="000000"/>
          <w:sz w:val="20"/>
          <w:szCs w:val="20"/>
        </w:rPr>
        <w:t>, somente incluirão novos projetos se já estiverem contemplados aqueles em andamento.</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15</w:t>
      </w:r>
      <w:r>
        <w:rPr>
          <w:rFonts w:ascii="Book Antiqua" w:hAnsi="Book Antiqua" w:cs="Arial"/>
          <w:color w:val="000000"/>
          <w:sz w:val="20"/>
          <w:szCs w:val="20"/>
        </w:rPr>
        <w:t xml:space="preserve"> Não sendo devolvido o autógrafo da Lei Orçamentária até o final do exercício de 2021 ao Poder Executivo, fica este autorizado a realizar a proposta orçamentária, até a sua aprovação e remessa do Poder Legislativo, na base de 1/12 (um doze avos) em cada mês.</w:t>
      </w:r>
    </w:p>
    <w:p w:rsidR="0017644C" w:rsidRDefault="0017644C" w:rsidP="0017644C">
      <w:pPr>
        <w:tabs>
          <w:tab w:val="left" w:pos="1440"/>
        </w:tabs>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iCs/>
          <w:color w:val="000000"/>
          <w:sz w:val="20"/>
          <w:szCs w:val="20"/>
        </w:rPr>
        <w:t>Parágrafo Único</w:t>
      </w:r>
      <w:r>
        <w:rPr>
          <w:rFonts w:ascii="Book Antiqua" w:hAnsi="Book Antiqua" w:cs="Arial"/>
          <w:color w:val="000000"/>
          <w:sz w:val="20"/>
          <w:szCs w:val="20"/>
        </w:rPr>
        <w:t>. Para atender ao disposto na Lei de Responsabilidade Fiscal, o Poder Executivo se incumbirá do seguinte:</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pStyle w:val="PargrafodaLista"/>
        <w:numPr>
          <w:ilvl w:val="0"/>
          <w:numId w:val="6"/>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Estabelecerá Programação Financeira e o Cronograma de execução mensal de desembolso;</w:t>
      </w:r>
    </w:p>
    <w:p w:rsidR="0017644C" w:rsidRDefault="0017644C" w:rsidP="0017644C">
      <w:pPr>
        <w:pStyle w:val="PargrafodaLista"/>
        <w:numPr>
          <w:ilvl w:val="0"/>
          <w:numId w:val="6"/>
        </w:numPr>
        <w:tabs>
          <w:tab w:val="left" w:pos="1080"/>
        </w:tabs>
        <w:spacing w:after="0" w:line="276" w:lineRule="auto"/>
        <w:jc w:val="both"/>
        <w:rPr>
          <w:rFonts w:ascii="Book Antiqua" w:hAnsi="Book Antiqua" w:cs="Arial"/>
          <w:color w:val="000000"/>
          <w:sz w:val="20"/>
          <w:szCs w:val="20"/>
        </w:rPr>
      </w:pPr>
      <w:r>
        <w:rPr>
          <w:rFonts w:ascii="Book Antiqua" w:hAnsi="Book Antiqua" w:cs="Arial"/>
          <w:color w:val="000000"/>
          <w:sz w:val="20"/>
          <w:szCs w:val="20"/>
        </w:rPr>
        <w:t>Publicará até 30 (trinta) dias após o encerramento do bimestre, Relatório Resumido da Execução Orçamentária, verificando o alcance das metas e, se não atingidas, deverá realizar cortes de dotações;</w:t>
      </w:r>
    </w:p>
    <w:p w:rsidR="0017644C" w:rsidRDefault="0017644C" w:rsidP="0017644C">
      <w:pPr>
        <w:pStyle w:val="PargrafodaLista"/>
        <w:numPr>
          <w:ilvl w:val="0"/>
          <w:numId w:val="6"/>
        </w:numPr>
        <w:tabs>
          <w:tab w:val="left" w:pos="1080"/>
        </w:tabs>
        <w:spacing w:after="0" w:line="276" w:lineRule="auto"/>
        <w:jc w:val="both"/>
        <w:rPr>
          <w:rFonts w:ascii="Book Antiqua" w:hAnsi="Book Antiqua" w:cs="Arial"/>
          <w:color w:val="000000"/>
          <w:sz w:val="20"/>
          <w:szCs w:val="20"/>
        </w:rPr>
      </w:pPr>
      <w:r>
        <w:rPr>
          <w:rFonts w:ascii="Book Antiqua" w:hAnsi="Book Antiqua" w:cs="Arial"/>
          <w:color w:val="000000"/>
          <w:sz w:val="20"/>
          <w:szCs w:val="20"/>
        </w:rPr>
        <w:t>Emitirá ao final de cada quadrimestre, Relatório de Gestão Fiscal, avaliando o cumprimento das Metas Fiscais, em audiência pública, perante a Câmara de Vereadores;</w:t>
      </w:r>
    </w:p>
    <w:p w:rsidR="0017644C" w:rsidRDefault="0017644C" w:rsidP="0017644C">
      <w:pPr>
        <w:pStyle w:val="PargrafodaLista"/>
        <w:numPr>
          <w:ilvl w:val="0"/>
          <w:numId w:val="6"/>
        </w:numPr>
        <w:tabs>
          <w:tab w:val="left" w:pos="1080"/>
        </w:tabs>
        <w:spacing w:after="0" w:line="276" w:lineRule="auto"/>
        <w:jc w:val="both"/>
        <w:rPr>
          <w:rFonts w:ascii="Book Antiqua" w:hAnsi="Book Antiqua" w:cs="Arial"/>
          <w:color w:val="000000"/>
          <w:sz w:val="20"/>
          <w:szCs w:val="20"/>
        </w:rPr>
      </w:pPr>
      <w:r>
        <w:rPr>
          <w:rFonts w:ascii="Book Antiqua" w:hAnsi="Book Antiqua" w:cs="Arial"/>
          <w:color w:val="000000"/>
          <w:sz w:val="20"/>
          <w:szCs w:val="20"/>
        </w:rPr>
        <w:t>Divulgará de forma ampla, inclusive na internet, e ficará à disposição da comunidade, o Plano Plurianual, a Lei de Diretrizes Orçamentárias, os Orçamentos, a Prestação de Contas e o respectivo parecer do Tribunal de Contas do Estado de São Paulo;</w:t>
      </w:r>
    </w:p>
    <w:p w:rsidR="0017644C" w:rsidRDefault="0017644C" w:rsidP="0017644C">
      <w:pPr>
        <w:pStyle w:val="PargrafodaLista"/>
        <w:numPr>
          <w:ilvl w:val="0"/>
          <w:numId w:val="6"/>
        </w:numPr>
        <w:tabs>
          <w:tab w:val="left" w:pos="1080"/>
        </w:tabs>
        <w:spacing w:after="0" w:line="276" w:lineRule="auto"/>
        <w:jc w:val="both"/>
        <w:rPr>
          <w:rFonts w:ascii="Book Antiqua" w:hAnsi="Book Antiqua" w:cs="Arial"/>
          <w:color w:val="000000"/>
          <w:sz w:val="20"/>
          <w:szCs w:val="20"/>
        </w:rPr>
      </w:pPr>
      <w:r>
        <w:rPr>
          <w:rFonts w:ascii="Book Antiqua" w:hAnsi="Book Antiqua" w:cs="Arial"/>
          <w:color w:val="000000"/>
          <w:sz w:val="20"/>
          <w:szCs w:val="20"/>
        </w:rPr>
        <w:t>O desembolso dos recursos financeiros consignados à Câmara Municipal será feito até o dia 20 (vinte) de cada mês, sob a forma de duodécimos, ou de comum acordo entre os Poderes, na conformidade com a Lei Orgânica do Município.</w:t>
      </w:r>
    </w:p>
    <w:p w:rsidR="0017644C" w:rsidRDefault="0017644C" w:rsidP="0017644C">
      <w:pPr>
        <w:tabs>
          <w:tab w:val="center" w:pos="1080"/>
        </w:tabs>
        <w:spacing w:after="0" w:line="276" w:lineRule="auto"/>
        <w:jc w:val="both"/>
        <w:rPr>
          <w:rFonts w:ascii="Book Antiqua" w:hAnsi="Book Antiqua" w:cs="Arial"/>
          <w:color w:val="000000"/>
          <w:sz w:val="20"/>
          <w:szCs w:val="20"/>
        </w:rPr>
      </w:pPr>
    </w:p>
    <w:p w:rsidR="0017644C" w:rsidRDefault="0017644C" w:rsidP="0017644C">
      <w:pPr>
        <w:keepNext/>
        <w:spacing w:after="0" w:line="276" w:lineRule="auto"/>
        <w:jc w:val="center"/>
        <w:outlineLvl w:val="1"/>
        <w:rPr>
          <w:rFonts w:ascii="Book Antiqua" w:hAnsi="Book Antiqua" w:cs="Arial"/>
          <w:b/>
          <w:bCs/>
          <w:color w:val="000000"/>
          <w:sz w:val="20"/>
          <w:szCs w:val="20"/>
        </w:rPr>
      </w:pPr>
      <w:r>
        <w:rPr>
          <w:rFonts w:ascii="Book Antiqua" w:hAnsi="Book Antiqua" w:cs="Arial"/>
          <w:b/>
          <w:bCs/>
          <w:color w:val="000000"/>
          <w:sz w:val="20"/>
          <w:szCs w:val="20"/>
        </w:rPr>
        <w:t>CAPÍTULO III</w:t>
      </w:r>
    </w:p>
    <w:p w:rsidR="0017644C" w:rsidRDefault="0017644C" w:rsidP="0017644C">
      <w:pPr>
        <w:keepNext/>
        <w:spacing w:after="0" w:line="276" w:lineRule="auto"/>
        <w:jc w:val="center"/>
        <w:outlineLvl w:val="3"/>
        <w:rPr>
          <w:rFonts w:ascii="Book Antiqua" w:hAnsi="Book Antiqua" w:cs="Arial"/>
          <w:color w:val="000000"/>
          <w:sz w:val="20"/>
          <w:szCs w:val="20"/>
          <w:u w:val="single"/>
        </w:rPr>
      </w:pPr>
      <w:r>
        <w:rPr>
          <w:rFonts w:ascii="Book Antiqua" w:hAnsi="Book Antiqua" w:cs="Arial"/>
          <w:color w:val="000000"/>
          <w:sz w:val="20"/>
          <w:szCs w:val="20"/>
          <w:u w:val="single"/>
        </w:rPr>
        <w:t>DO ORÇAMENTO GERAL</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16</w:t>
      </w:r>
      <w:r>
        <w:rPr>
          <w:rFonts w:ascii="Book Antiqua" w:hAnsi="Book Antiqua" w:cs="Arial"/>
          <w:color w:val="000000"/>
          <w:sz w:val="20"/>
          <w:szCs w:val="20"/>
        </w:rPr>
        <w:t xml:space="preserve"> O orçamento geral abrangerá os Poderes Executivo e Legislativo, e as entidades da administração direta e indireta, e será elaborado de conformidade com a Portaria nº 42, de 14 de abril de 1999, do Ministério do Orçamento e Gestão e demais Portarias editadas pelo Governo Federal.</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17</w:t>
      </w:r>
      <w:r>
        <w:rPr>
          <w:rFonts w:ascii="Book Antiqua" w:hAnsi="Book Antiqua" w:cs="Arial"/>
          <w:color w:val="000000"/>
          <w:sz w:val="20"/>
          <w:szCs w:val="20"/>
        </w:rPr>
        <w:t xml:space="preserve"> Na elaboração da proposta orçamentária deverão ser atendidos os programas constantes dos anexos que fazem parte integrante desta Lei, podendo na medida das necessidades, efetuar modificações no Plano Plurianual, como exclusões ou inclusões, aumentos ou diminuições dos programas ou das ações (projetos, atividades e operações especiais), inclusive nas metas estabelecidas, desde que financiados com recursos próprios ou de outras esferas do governo.</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18</w:t>
      </w:r>
      <w:r>
        <w:rPr>
          <w:rFonts w:ascii="Book Antiqua" w:hAnsi="Book Antiqua" w:cs="Arial"/>
          <w:color w:val="000000"/>
          <w:sz w:val="20"/>
          <w:szCs w:val="20"/>
        </w:rPr>
        <w:t xml:space="preserve"> O Município aplicará, no mínimo, 25% (vinte e cinco por cento) das receitas resultantes de impostos na manutenção e desenvolvimento do ensino, nos termos do art. 212 da Constituição Federal, e aplicará obrigatoriamente no mínimo 15% (quinze por cento) das mesmas receitas nas ações e serviços de saúde.</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19</w:t>
      </w:r>
      <w:r>
        <w:rPr>
          <w:rFonts w:ascii="Book Antiqua" w:hAnsi="Book Antiqua" w:cs="Arial"/>
          <w:color w:val="000000"/>
          <w:sz w:val="20"/>
          <w:szCs w:val="20"/>
        </w:rPr>
        <w:t xml:space="preserve"> A proposta orçamentária que o Poder Executivo encaminhar ao Poder Legislativo até o dia 30 de setembro, compor-se-á de:</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pStyle w:val="PargrafodaLista"/>
        <w:numPr>
          <w:ilvl w:val="0"/>
          <w:numId w:val="7"/>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Mensagem;</w:t>
      </w:r>
    </w:p>
    <w:p w:rsidR="0017644C" w:rsidRDefault="0017644C" w:rsidP="0017644C">
      <w:pPr>
        <w:pStyle w:val="PargrafodaLista"/>
        <w:numPr>
          <w:ilvl w:val="0"/>
          <w:numId w:val="7"/>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Projeto de Lei Orçamentária;</w:t>
      </w:r>
    </w:p>
    <w:p w:rsidR="0017644C" w:rsidRDefault="0017644C" w:rsidP="0017644C">
      <w:pPr>
        <w:pStyle w:val="PargrafodaLista"/>
        <w:numPr>
          <w:ilvl w:val="0"/>
          <w:numId w:val="7"/>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Tabelas explicativas da receita e despesas dos três últimos exercícios.</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iCs/>
          <w:color w:val="000000"/>
          <w:sz w:val="20"/>
          <w:szCs w:val="20"/>
        </w:rPr>
        <w:t>Parágrafo Único.</w:t>
      </w:r>
      <w:r>
        <w:rPr>
          <w:rFonts w:ascii="Book Antiqua" w:hAnsi="Book Antiqua" w:cs="Arial"/>
          <w:b/>
          <w:color w:val="000000"/>
          <w:sz w:val="20"/>
          <w:szCs w:val="20"/>
        </w:rPr>
        <w:t xml:space="preserve"> </w:t>
      </w:r>
      <w:r>
        <w:rPr>
          <w:rFonts w:ascii="Book Antiqua" w:hAnsi="Book Antiqua" w:cs="Arial"/>
          <w:color w:val="000000"/>
          <w:sz w:val="20"/>
          <w:szCs w:val="20"/>
        </w:rPr>
        <w:t>A Câmara não entrará em recesso enquanto não devolver o Projeto de Lei para sanção do Chefe do Poder Executivo.</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tabs>
          <w:tab w:val="left" w:pos="1080"/>
        </w:tabs>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20</w:t>
      </w:r>
      <w:r>
        <w:rPr>
          <w:rFonts w:ascii="Book Antiqua" w:hAnsi="Book Antiqua" w:cs="Arial"/>
          <w:color w:val="000000"/>
          <w:sz w:val="20"/>
          <w:szCs w:val="20"/>
        </w:rPr>
        <w:t xml:space="preserve"> Integrarão a Lei Orçamentária Anual:</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pStyle w:val="PargrafodaLista"/>
        <w:numPr>
          <w:ilvl w:val="0"/>
          <w:numId w:val="8"/>
        </w:numPr>
        <w:tabs>
          <w:tab w:val="left" w:pos="1080"/>
        </w:tabs>
        <w:spacing w:after="0" w:line="276" w:lineRule="auto"/>
        <w:jc w:val="both"/>
        <w:rPr>
          <w:rFonts w:ascii="Book Antiqua" w:hAnsi="Book Antiqua" w:cs="Arial"/>
          <w:color w:val="000000"/>
          <w:sz w:val="20"/>
          <w:szCs w:val="20"/>
        </w:rPr>
      </w:pPr>
      <w:r>
        <w:rPr>
          <w:rFonts w:ascii="Book Antiqua" w:hAnsi="Book Antiqua" w:cs="Arial"/>
          <w:color w:val="000000"/>
          <w:sz w:val="20"/>
          <w:szCs w:val="20"/>
        </w:rPr>
        <w:t>Sumário geral da receita por fontes e da despesa por funções de governo;</w:t>
      </w:r>
    </w:p>
    <w:p w:rsidR="0017644C" w:rsidRDefault="0017644C" w:rsidP="0017644C">
      <w:pPr>
        <w:pStyle w:val="PargrafodaLista"/>
        <w:numPr>
          <w:ilvl w:val="0"/>
          <w:numId w:val="8"/>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Sumário geral da receita e despesas, por categoria econômica;</w:t>
      </w:r>
    </w:p>
    <w:p w:rsidR="0017644C" w:rsidRDefault="0017644C" w:rsidP="0017644C">
      <w:pPr>
        <w:pStyle w:val="PargrafodaLista"/>
        <w:numPr>
          <w:ilvl w:val="0"/>
          <w:numId w:val="8"/>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Sumário da receita por fontes, e respectiva legislação;</w:t>
      </w:r>
    </w:p>
    <w:p w:rsidR="0017644C" w:rsidRDefault="0017644C" w:rsidP="0017644C">
      <w:pPr>
        <w:pStyle w:val="PargrafodaLista"/>
        <w:numPr>
          <w:ilvl w:val="0"/>
          <w:numId w:val="8"/>
        </w:numPr>
        <w:spacing w:after="0" w:line="276" w:lineRule="auto"/>
        <w:jc w:val="both"/>
        <w:rPr>
          <w:rFonts w:ascii="Book Antiqua" w:hAnsi="Book Antiqua" w:cs="Arial"/>
          <w:color w:val="000000"/>
          <w:sz w:val="20"/>
          <w:szCs w:val="20"/>
        </w:rPr>
      </w:pPr>
      <w:r>
        <w:rPr>
          <w:rFonts w:ascii="Book Antiqua" w:hAnsi="Book Antiqua" w:cs="Arial"/>
          <w:color w:val="000000"/>
          <w:sz w:val="20"/>
          <w:szCs w:val="20"/>
        </w:rPr>
        <w:t>Quadro das dotações por órgãos de governo e da administração.</w:t>
      </w:r>
    </w:p>
    <w:p w:rsidR="0017644C" w:rsidRDefault="0017644C" w:rsidP="0017644C">
      <w:pPr>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21</w:t>
      </w:r>
      <w:r>
        <w:rPr>
          <w:rFonts w:ascii="Book Antiqua" w:hAnsi="Book Antiqua" w:cs="Arial"/>
          <w:color w:val="000000"/>
          <w:sz w:val="20"/>
          <w:szCs w:val="20"/>
        </w:rPr>
        <w:t xml:space="preserve"> A inclusão, na Lei Orçamentária, de transferências de recursos para o custeio de despesas de outros entes da federação somente poderá ocorrer em situações que envolvam claramente o atendimento de interesses locais, atendidos os dispositivos do art. 62 de </w:t>
      </w:r>
      <w:r>
        <w:rPr>
          <w:rFonts w:ascii="Book Antiqua" w:hAnsi="Book Antiqua"/>
          <w:color w:val="000000"/>
          <w:sz w:val="20"/>
          <w:szCs w:val="20"/>
        </w:rPr>
        <w:t>Lei de Responsabilidade Fiscal</w:t>
      </w:r>
      <w:r>
        <w:rPr>
          <w:rFonts w:ascii="Book Antiqua" w:hAnsi="Book Antiqua" w:cs="Arial"/>
          <w:color w:val="000000"/>
          <w:sz w:val="20"/>
          <w:szCs w:val="20"/>
        </w:rPr>
        <w:t xml:space="preserve">. </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22</w:t>
      </w:r>
      <w:r>
        <w:rPr>
          <w:rFonts w:ascii="Book Antiqua" w:hAnsi="Book Antiqua" w:cs="Arial"/>
          <w:color w:val="000000"/>
          <w:sz w:val="20"/>
          <w:szCs w:val="20"/>
        </w:rPr>
        <w:t xml:space="preserve"> Caso o valor previsto no anexo de metas fiscais apresentarem defasados na ocasião da elaboração da proposta orçamentária, serão reajustados aos valores reais, compatibilizando a receita orçada com a despesa autorizada.</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23</w:t>
      </w:r>
      <w:r>
        <w:rPr>
          <w:rFonts w:ascii="Book Antiqua" w:hAnsi="Book Antiqua" w:cs="Arial"/>
          <w:color w:val="000000"/>
          <w:sz w:val="20"/>
          <w:szCs w:val="20"/>
        </w:rPr>
        <w:t xml:space="preserve"> As diretrizes e metas constantes deste Projeto de Lei de Diretrizes Orçamentárias constarão obrigatoriamente na Lei Orçamentária que será enviada à Câmara até 30 de setembro do ano corrente.</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keepNext/>
        <w:spacing w:after="0" w:line="276" w:lineRule="auto"/>
        <w:jc w:val="center"/>
        <w:outlineLvl w:val="1"/>
        <w:rPr>
          <w:rFonts w:ascii="Book Antiqua" w:hAnsi="Book Antiqua" w:cs="Arial"/>
          <w:b/>
          <w:color w:val="000000"/>
          <w:sz w:val="20"/>
          <w:szCs w:val="20"/>
        </w:rPr>
      </w:pPr>
      <w:r>
        <w:rPr>
          <w:rFonts w:ascii="Book Antiqua" w:hAnsi="Book Antiqua" w:cs="Arial"/>
          <w:b/>
          <w:color w:val="000000"/>
          <w:sz w:val="20"/>
          <w:szCs w:val="20"/>
        </w:rPr>
        <w:t>CAPÍTULO IV</w:t>
      </w:r>
    </w:p>
    <w:p w:rsidR="0017644C" w:rsidRDefault="0017644C" w:rsidP="0017644C">
      <w:pPr>
        <w:keepNext/>
        <w:spacing w:after="0" w:line="276" w:lineRule="auto"/>
        <w:jc w:val="center"/>
        <w:outlineLvl w:val="3"/>
        <w:rPr>
          <w:rFonts w:ascii="Book Antiqua" w:hAnsi="Book Antiqua" w:cs="Arial"/>
          <w:color w:val="000000"/>
          <w:sz w:val="20"/>
          <w:szCs w:val="20"/>
          <w:u w:val="single"/>
        </w:rPr>
      </w:pPr>
      <w:r>
        <w:rPr>
          <w:rFonts w:ascii="Book Antiqua" w:hAnsi="Book Antiqua" w:cs="Arial"/>
          <w:color w:val="000000"/>
          <w:sz w:val="20"/>
          <w:szCs w:val="20"/>
          <w:u w:val="single"/>
        </w:rPr>
        <w:t>DAS SUBVENÇÕES, CONTRIBUIÇÕES E AUXÍLIOS AS ENTIDADES</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spacing w:after="0" w:line="276" w:lineRule="auto"/>
        <w:jc w:val="both"/>
        <w:rPr>
          <w:rFonts w:ascii="Book Antiqua" w:hAnsi="Book Antiqua"/>
          <w:color w:val="000000"/>
          <w:sz w:val="20"/>
          <w:szCs w:val="20"/>
        </w:rPr>
      </w:pPr>
      <w:r>
        <w:rPr>
          <w:rFonts w:ascii="Book Antiqua" w:hAnsi="Book Antiqua"/>
          <w:b/>
          <w:color w:val="000000"/>
          <w:sz w:val="20"/>
          <w:szCs w:val="20"/>
        </w:rPr>
        <w:lastRenderedPageBreak/>
        <w:t>Art. 24</w:t>
      </w:r>
      <w:r>
        <w:rPr>
          <w:rFonts w:ascii="Book Antiqua" w:hAnsi="Book Antiqua"/>
          <w:color w:val="000000"/>
          <w:sz w:val="20"/>
          <w:szCs w:val="20"/>
        </w:rPr>
        <w:t xml:space="preserve"> É vedada a inclusão de quaisquer recursos do município na Lei Orçamentária Anual e nos créditos adicionais para clubes, associações de servidores e de dotações a título de subvenções sociais auxílios e contribuições, ressalvadas aquelas destinadas a entidades privadas, de natureza continuada, sem fins lucrativos, de atendimento ao público nas áreas de assistência social, saúde ou educação ou que estejam registradas no Conselho Nacional de Assistência Social - CNAS.</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spacing w:after="0" w:line="276" w:lineRule="auto"/>
        <w:jc w:val="both"/>
        <w:rPr>
          <w:rFonts w:ascii="Book Antiqua" w:hAnsi="Book Antiqua"/>
          <w:color w:val="000000"/>
          <w:sz w:val="20"/>
          <w:szCs w:val="20"/>
        </w:rPr>
      </w:pPr>
      <w:r>
        <w:rPr>
          <w:rFonts w:ascii="Book Antiqua" w:hAnsi="Book Antiqua" w:cs="Arial"/>
          <w:b/>
          <w:bCs/>
          <w:color w:val="000000"/>
          <w:sz w:val="20"/>
          <w:szCs w:val="20"/>
        </w:rPr>
        <w:t>§ 1º</w:t>
      </w:r>
      <w:r>
        <w:rPr>
          <w:rFonts w:ascii="Book Antiqua" w:hAnsi="Book Antiqua" w:cs="Arial"/>
          <w:color w:val="000000"/>
          <w:sz w:val="20"/>
          <w:szCs w:val="20"/>
        </w:rPr>
        <w:t xml:space="preserve"> </w:t>
      </w:r>
      <w:r>
        <w:rPr>
          <w:rFonts w:ascii="Book Antiqua" w:hAnsi="Book Antiqua"/>
          <w:color w:val="000000"/>
          <w:sz w:val="20"/>
          <w:szCs w:val="20"/>
        </w:rPr>
        <w:t>As entidades privadas beneficiadas com recursos públicos municipais, a qualquer título, submeter-se-ão à fiscalização do Poder Público com a finalidade de verificar o cumprimento de metas e objetivos para os quais receberam os recursos.</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spacing w:after="0" w:line="276" w:lineRule="auto"/>
        <w:jc w:val="both"/>
        <w:rPr>
          <w:rFonts w:ascii="Book Antiqua" w:hAnsi="Book Antiqua"/>
          <w:color w:val="000000"/>
          <w:sz w:val="20"/>
          <w:szCs w:val="20"/>
        </w:rPr>
      </w:pPr>
      <w:r>
        <w:rPr>
          <w:rFonts w:ascii="Book Antiqua" w:hAnsi="Book Antiqua"/>
          <w:b/>
          <w:color w:val="000000"/>
          <w:sz w:val="20"/>
          <w:szCs w:val="20"/>
        </w:rPr>
        <w:t>§ 2°</w:t>
      </w:r>
      <w:r>
        <w:rPr>
          <w:rFonts w:ascii="Book Antiqua" w:hAnsi="Book Antiqua"/>
          <w:color w:val="000000"/>
          <w:sz w:val="20"/>
          <w:szCs w:val="20"/>
        </w:rPr>
        <w:t xml:space="preserve"> Sem prejuízo da observância das condições estabelecidas neste artigo, as dotações incluídas na Lei Orçamentária para a sua execução, dependerão, ainda de:</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pStyle w:val="PargrafodaLista"/>
        <w:numPr>
          <w:ilvl w:val="0"/>
          <w:numId w:val="9"/>
        </w:numPr>
        <w:spacing w:after="0" w:line="276" w:lineRule="auto"/>
        <w:jc w:val="both"/>
        <w:rPr>
          <w:rFonts w:ascii="Book Antiqua" w:hAnsi="Book Antiqua"/>
          <w:color w:val="000000"/>
          <w:sz w:val="20"/>
          <w:szCs w:val="20"/>
        </w:rPr>
      </w:pPr>
      <w:r>
        <w:rPr>
          <w:rFonts w:ascii="Book Antiqua" w:hAnsi="Book Antiqua"/>
          <w:color w:val="000000"/>
          <w:sz w:val="20"/>
          <w:szCs w:val="20"/>
        </w:rPr>
        <w:t>Normas a serem observadas na concessão de repasses, prevendo-se cláusula de reversão no caso de desvio de finalidade;</w:t>
      </w:r>
    </w:p>
    <w:p w:rsidR="0017644C" w:rsidRDefault="0017644C" w:rsidP="0017644C">
      <w:pPr>
        <w:pStyle w:val="PargrafodaLista"/>
        <w:numPr>
          <w:ilvl w:val="0"/>
          <w:numId w:val="9"/>
        </w:numPr>
        <w:spacing w:after="0" w:line="276" w:lineRule="auto"/>
        <w:jc w:val="both"/>
        <w:rPr>
          <w:rFonts w:ascii="Book Antiqua" w:hAnsi="Book Antiqua"/>
          <w:color w:val="000000"/>
          <w:sz w:val="20"/>
          <w:szCs w:val="20"/>
        </w:rPr>
      </w:pPr>
      <w:r>
        <w:rPr>
          <w:rFonts w:ascii="Book Antiqua" w:hAnsi="Book Antiqua"/>
          <w:color w:val="000000"/>
          <w:sz w:val="20"/>
          <w:szCs w:val="20"/>
        </w:rPr>
        <w:t>Identificação do beneficiário e do valor transferido no respectivo termo de colaboração ou fomento com a clara exposição de metas a serem atingidas e seus respectivos custos.</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spacing w:after="0" w:line="276" w:lineRule="auto"/>
        <w:jc w:val="both"/>
        <w:rPr>
          <w:rFonts w:ascii="Book Antiqua" w:hAnsi="Book Antiqua"/>
          <w:color w:val="000000"/>
          <w:sz w:val="20"/>
          <w:szCs w:val="20"/>
        </w:rPr>
      </w:pPr>
      <w:r>
        <w:rPr>
          <w:rFonts w:ascii="Book Antiqua" w:hAnsi="Book Antiqua"/>
          <w:b/>
          <w:color w:val="000000"/>
          <w:sz w:val="20"/>
          <w:szCs w:val="20"/>
        </w:rPr>
        <w:t>§ 3°</w:t>
      </w:r>
      <w:r>
        <w:rPr>
          <w:rFonts w:ascii="Book Antiqua" w:hAnsi="Book Antiqua"/>
          <w:color w:val="000000"/>
          <w:sz w:val="20"/>
          <w:szCs w:val="20"/>
        </w:rPr>
        <w:t xml:space="preserve"> A entidade beneficiada deverá obrigatoriamente, depositar estes recursos em conta especificamente aberta para este fim, sob pena de suspensão dos repasses no caso de desobediência.</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spacing w:after="0" w:line="276" w:lineRule="auto"/>
        <w:jc w:val="both"/>
        <w:rPr>
          <w:rFonts w:ascii="Book Antiqua" w:hAnsi="Book Antiqua"/>
          <w:color w:val="000000"/>
          <w:sz w:val="20"/>
          <w:szCs w:val="20"/>
        </w:rPr>
      </w:pPr>
      <w:r>
        <w:rPr>
          <w:rFonts w:ascii="Book Antiqua" w:hAnsi="Book Antiqua"/>
          <w:b/>
          <w:color w:val="000000"/>
          <w:sz w:val="20"/>
          <w:szCs w:val="20"/>
        </w:rPr>
        <w:t>§ 4°</w:t>
      </w:r>
      <w:r>
        <w:rPr>
          <w:rFonts w:ascii="Book Antiqua" w:hAnsi="Book Antiqua"/>
          <w:color w:val="000000"/>
          <w:sz w:val="20"/>
          <w:szCs w:val="20"/>
        </w:rPr>
        <w:t xml:space="preserve"> Fica vedada a concessão de ajuda financeira às entidades que não prestarem contas dos recursos anteriormente recebidos, assim como as que não tiverem suas contas aprovadas pelo Executivo municipal.</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spacing w:after="0" w:line="276" w:lineRule="auto"/>
        <w:jc w:val="both"/>
        <w:rPr>
          <w:rFonts w:ascii="Book Antiqua" w:hAnsi="Book Antiqua"/>
          <w:color w:val="000000"/>
          <w:sz w:val="20"/>
          <w:szCs w:val="20"/>
        </w:rPr>
      </w:pPr>
      <w:r>
        <w:rPr>
          <w:rFonts w:ascii="Book Antiqua" w:hAnsi="Book Antiqua"/>
          <w:b/>
          <w:color w:val="000000"/>
          <w:sz w:val="20"/>
          <w:szCs w:val="20"/>
        </w:rPr>
        <w:t>§ 5°</w:t>
      </w:r>
      <w:r>
        <w:rPr>
          <w:rFonts w:ascii="Book Antiqua" w:hAnsi="Book Antiqua"/>
          <w:color w:val="000000"/>
          <w:sz w:val="20"/>
          <w:szCs w:val="20"/>
        </w:rPr>
        <w:t xml:space="preserve"> Fica vedada a concessão de ajuda financeira às entidades que não apresentarem:</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pStyle w:val="PargrafodaLista"/>
        <w:numPr>
          <w:ilvl w:val="0"/>
          <w:numId w:val="10"/>
        </w:numPr>
        <w:spacing w:after="0" w:line="276" w:lineRule="auto"/>
        <w:jc w:val="both"/>
        <w:rPr>
          <w:rFonts w:ascii="Book Antiqua" w:hAnsi="Book Antiqua"/>
          <w:color w:val="000000"/>
          <w:sz w:val="20"/>
          <w:szCs w:val="20"/>
        </w:rPr>
      </w:pPr>
      <w:r>
        <w:rPr>
          <w:rFonts w:ascii="Book Antiqua" w:hAnsi="Book Antiqua"/>
          <w:color w:val="000000"/>
          <w:sz w:val="20"/>
          <w:szCs w:val="20"/>
        </w:rPr>
        <w:t>Cópia do Registro do Estatuto;</w:t>
      </w:r>
    </w:p>
    <w:p w:rsidR="0017644C" w:rsidRDefault="0017644C" w:rsidP="0017644C">
      <w:pPr>
        <w:pStyle w:val="PargrafodaLista"/>
        <w:numPr>
          <w:ilvl w:val="0"/>
          <w:numId w:val="10"/>
        </w:numPr>
        <w:spacing w:after="0" w:line="276" w:lineRule="auto"/>
        <w:jc w:val="both"/>
        <w:rPr>
          <w:rFonts w:ascii="Book Antiqua" w:hAnsi="Book Antiqua"/>
          <w:color w:val="000000"/>
          <w:sz w:val="20"/>
          <w:szCs w:val="20"/>
        </w:rPr>
      </w:pPr>
      <w:r>
        <w:rPr>
          <w:rFonts w:ascii="Book Antiqua" w:hAnsi="Book Antiqua"/>
          <w:color w:val="000000"/>
          <w:sz w:val="20"/>
          <w:szCs w:val="20"/>
        </w:rPr>
        <w:t>Comprovação de ser Entidade de Utilidade Pública Municipal;</w:t>
      </w:r>
    </w:p>
    <w:p w:rsidR="0017644C" w:rsidRDefault="0017644C" w:rsidP="0017644C">
      <w:pPr>
        <w:pStyle w:val="PargrafodaLista"/>
        <w:numPr>
          <w:ilvl w:val="0"/>
          <w:numId w:val="10"/>
        </w:numPr>
        <w:spacing w:after="0" w:line="276" w:lineRule="auto"/>
        <w:jc w:val="both"/>
        <w:rPr>
          <w:rFonts w:ascii="Book Antiqua" w:hAnsi="Book Antiqua"/>
          <w:color w:val="000000"/>
          <w:sz w:val="20"/>
          <w:szCs w:val="20"/>
        </w:rPr>
      </w:pPr>
      <w:r>
        <w:rPr>
          <w:rFonts w:ascii="Book Antiqua" w:hAnsi="Book Antiqua"/>
          <w:color w:val="000000"/>
          <w:sz w:val="20"/>
          <w:szCs w:val="20"/>
        </w:rPr>
        <w:t>Atestado de funcionamento regular, assinado pelo Delegado de Polícia, Promotor de Justiça, Juiz de Direito, Presidente da Câmara ou Prefeito Municipal;</w:t>
      </w:r>
    </w:p>
    <w:p w:rsidR="0017644C" w:rsidRDefault="0017644C" w:rsidP="0017644C">
      <w:pPr>
        <w:pStyle w:val="PargrafodaLista"/>
        <w:numPr>
          <w:ilvl w:val="0"/>
          <w:numId w:val="10"/>
        </w:numPr>
        <w:spacing w:after="0" w:line="276" w:lineRule="auto"/>
        <w:jc w:val="both"/>
        <w:rPr>
          <w:rFonts w:ascii="Book Antiqua" w:hAnsi="Book Antiqua"/>
          <w:color w:val="000000"/>
          <w:sz w:val="20"/>
          <w:szCs w:val="20"/>
        </w:rPr>
      </w:pPr>
      <w:r>
        <w:rPr>
          <w:rFonts w:ascii="Book Antiqua" w:hAnsi="Book Antiqua"/>
          <w:color w:val="000000"/>
          <w:sz w:val="20"/>
          <w:szCs w:val="20"/>
        </w:rPr>
        <w:t>Programa de trabalho especificando o montante e a aplicação dos recursos pleiteados, sua finalidade e estimativa do número de pessoas beneficiadas;</w:t>
      </w:r>
    </w:p>
    <w:p w:rsidR="0017644C" w:rsidRDefault="0017644C" w:rsidP="0017644C">
      <w:pPr>
        <w:pStyle w:val="PargrafodaLista"/>
        <w:numPr>
          <w:ilvl w:val="0"/>
          <w:numId w:val="10"/>
        </w:numPr>
        <w:spacing w:after="0" w:line="276" w:lineRule="auto"/>
        <w:jc w:val="both"/>
        <w:rPr>
          <w:rFonts w:ascii="Book Antiqua" w:hAnsi="Book Antiqua"/>
          <w:color w:val="000000"/>
          <w:sz w:val="20"/>
          <w:szCs w:val="20"/>
        </w:rPr>
      </w:pPr>
      <w:r>
        <w:rPr>
          <w:rFonts w:ascii="Book Antiqua" w:hAnsi="Book Antiqua"/>
          <w:color w:val="000000"/>
          <w:sz w:val="20"/>
          <w:szCs w:val="20"/>
        </w:rPr>
        <w:t>Comprovação que se acha em dia quanto ao pagamento de tributos, empréstimos e financiamentos devidos ao ente transferidor, bem como quanto à prestação de contas de recursos anteriormente dele recebidos.</w:t>
      </w:r>
    </w:p>
    <w:p w:rsidR="0017644C" w:rsidRDefault="0017644C" w:rsidP="0017644C">
      <w:pPr>
        <w:spacing w:after="0" w:line="276" w:lineRule="auto"/>
        <w:jc w:val="both"/>
        <w:rPr>
          <w:rFonts w:ascii="Book Antiqua" w:hAnsi="Book Antiqua"/>
          <w:color w:val="000000"/>
          <w:sz w:val="20"/>
          <w:szCs w:val="20"/>
        </w:rPr>
      </w:pPr>
    </w:p>
    <w:p w:rsidR="0017644C" w:rsidRDefault="0017644C" w:rsidP="0017644C">
      <w:pPr>
        <w:spacing w:after="0" w:line="276" w:lineRule="auto"/>
        <w:jc w:val="both"/>
        <w:rPr>
          <w:rFonts w:ascii="Book Antiqua" w:hAnsi="Book Antiqua"/>
          <w:color w:val="000000"/>
          <w:sz w:val="20"/>
          <w:szCs w:val="20"/>
        </w:rPr>
      </w:pPr>
      <w:r>
        <w:rPr>
          <w:rFonts w:ascii="Book Antiqua" w:hAnsi="Book Antiqua"/>
          <w:b/>
          <w:color w:val="000000"/>
          <w:sz w:val="20"/>
          <w:szCs w:val="20"/>
        </w:rPr>
        <w:t>Art. 25</w:t>
      </w:r>
      <w:r>
        <w:rPr>
          <w:rFonts w:ascii="Book Antiqua" w:hAnsi="Book Antiqua"/>
          <w:color w:val="000000"/>
          <w:sz w:val="20"/>
          <w:szCs w:val="20"/>
        </w:rPr>
        <w:t xml:space="preserve"> O Poder Executivo poderá subsidiar despesas do Governo do Estado de São Paulo para custeio de atividades da Polícia Militar e Polícia Civil, bem como ao Poder Judiciário e Eleitoral, e com o Governo Federal para custeio de atividades do Ministério do Exército, mediante a assinatura de convênio entre as partes.</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tabs>
          <w:tab w:val="left" w:pos="1080"/>
        </w:tabs>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lastRenderedPageBreak/>
        <w:t>Art. 26</w:t>
      </w:r>
      <w:r>
        <w:rPr>
          <w:rFonts w:ascii="Book Antiqua" w:hAnsi="Book Antiqua" w:cs="Arial"/>
          <w:color w:val="000000"/>
          <w:sz w:val="20"/>
          <w:szCs w:val="20"/>
        </w:rPr>
        <w:t xml:space="preserve"> - Além da reserva prevista no artigo 4º, o projeto de Lei Orçamentária Anual, sob o limite de 1,2% da receita corrente líquida, conterá reserva de contingência sob a qual os vereadores realizarão as emendas impositivas de que trata o § 9º, art. 166, da Constituição.</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tabs>
          <w:tab w:val="left" w:pos="1080"/>
        </w:tabs>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27</w:t>
      </w:r>
      <w:r>
        <w:rPr>
          <w:rFonts w:ascii="Book Antiqua" w:hAnsi="Book Antiqua" w:cs="Arial"/>
          <w:color w:val="000000"/>
          <w:sz w:val="20"/>
          <w:szCs w:val="20"/>
        </w:rPr>
        <w:t xml:space="preserve"> - Na aprovação das emendas individuais impositivas ao orçamento, a Câmara de Vereadores atenderá ao que segue:</w:t>
      </w:r>
    </w:p>
    <w:p w:rsidR="0017644C" w:rsidRDefault="0017644C"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pStyle w:val="PargrafodaLista"/>
        <w:numPr>
          <w:ilvl w:val="0"/>
          <w:numId w:val="11"/>
        </w:numPr>
        <w:spacing w:after="0" w:line="276" w:lineRule="auto"/>
        <w:ind w:left="709" w:hanging="283"/>
        <w:jc w:val="both"/>
        <w:rPr>
          <w:rFonts w:ascii="Book Antiqua" w:hAnsi="Book Antiqua"/>
          <w:color w:val="000000"/>
          <w:sz w:val="20"/>
          <w:szCs w:val="20"/>
        </w:rPr>
      </w:pPr>
      <w:r>
        <w:rPr>
          <w:rFonts w:ascii="Book Antiqua" w:hAnsi="Book Antiqua"/>
          <w:color w:val="000000"/>
          <w:sz w:val="20"/>
          <w:szCs w:val="20"/>
        </w:rPr>
        <w:t>Compatibilidade com os planos municipais, bem como os projetos enunciados no anexo de metas e prioridades desta Lei;</w:t>
      </w:r>
    </w:p>
    <w:p w:rsidR="0017644C" w:rsidRDefault="0017644C" w:rsidP="0017644C">
      <w:pPr>
        <w:pStyle w:val="PargrafodaLista"/>
        <w:numPr>
          <w:ilvl w:val="0"/>
          <w:numId w:val="11"/>
        </w:numPr>
        <w:spacing w:after="0" w:line="276" w:lineRule="auto"/>
        <w:ind w:left="709" w:hanging="283"/>
        <w:jc w:val="both"/>
        <w:rPr>
          <w:rFonts w:ascii="Book Antiqua" w:hAnsi="Book Antiqua"/>
          <w:color w:val="000000"/>
          <w:sz w:val="20"/>
          <w:szCs w:val="20"/>
        </w:rPr>
      </w:pPr>
      <w:r>
        <w:rPr>
          <w:rFonts w:ascii="Book Antiqua" w:hAnsi="Book Antiqua"/>
          <w:color w:val="000000"/>
          <w:sz w:val="20"/>
          <w:szCs w:val="20"/>
        </w:rPr>
        <w:t>O total não ultrapassará 1,2% da receita corrente líquida prevista;</w:t>
      </w:r>
    </w:p>
    <w:p w:rsidR="0017644C" w:rsidRDefault="0017644C" w:rsidP="0017644C">
      <w:pPr>
        <w:pStyle w:val="PargrafodaLista"/>
        <w:numPr>
          <w:ilvl w:val="0"/>
          <w:numId w:val="11"/>
        </w:numPr>
        <w:spacing w:after="0" w:line="276" w:lineRule="auto"/>
        <w:ind w:left="709" w:hanging="283"/>
        <w:jc w:val="both"/>
        <w:rPr>
          <w:rFonts w:ascii="Book Antiqua" w:hAnsi="Book Antiqua"/>
          <w:color w:val="000000"/>
          <w:sz w:val="20"/>
          <w:szCs w:val="20"/>
        </w:rPr>
      </w:pPr>
      <w:r>
        <w:rPr>
          <w:rFonts w:ascii="Book Antiqua" w:hAnsi="Book Antiqua"/>
          <w:color w:val="000000"/>
          <w:sz w:val="20"/>
          <w:szCs w:val="20"/>
        </w:rPr>
        <w:t>Ao menos metade das emendas estará vinculada ao financiamento das ações e serviços de saúde;</w:t>
      </w:r>
    </w:p>
    <w:p w:rsidR="0017644C" w:rsidRDefault="0017644C" w:rsidP="0017644C">
      <w:pPr>
        <w:pStyle w:val="PargrafodaLista"/>
        <w:numPr>
          <w:ilvl w:val="0"/>
          <w:numId w:val="11"/>
        </w:numPr>
        <w:spacing w:after="0" w:line="276" w:lineRule="auto"/>
        <w:ind w:left="709" w:hanging="283"/>
        <w:jc w:val="both"/>
        <w:rPr>
          <w:rFonts w:ascii="Book Antiqua" w:hAnsi="Book Antiqua"/>
          <w:color w:val="000000"/>
          <w:sz w:val="20"/>
          <w:szCs w:val="20"/>
        </w:rPr>
      </w:pPr>
      <w:r>
        <w:rPr>
          <w:rFonts w:ascii="Book Antiqua" w:hAnsi="Book Antiqua"/>
          <w:color w:val="000000"/>
          <w:sz w:val="20"/>
          <w:szCs w:val="20"/>
        </w:rPr>
        <w:t>No autógrafo de lei orçamentária, a Câmara Municipal demonstrará, em anexo próprio, as emendas individuais impositivas e a respectiva fonte de custeio;</w:t>
      </w:r>
    </w:p>
    <w:p w:rsidR="0017644C" w:rsidRDefault="0017644C" w:rsidP="0017644C">
      <w:pPr>
        <w:pStyle w:val="PargrafodaLista"/>
        <w:numPr>
          <w:ilvl w:val="0"/>
          <w:numId w:val="11"/>
        </w:numPr>
        <w:spacing w:after="0" w:line="276" w:lineRule="auto"/>
        <w:ind w:left="709" w:hanging="283"/>
        <w:jc w:val="both"/>
        <w:rPr>
          <w:rFonts w:ascii="Book Antiqua" w:hAnsi="Book Antiqua"/>
          <w:color w:val="000000"/>
          <w:sz w:val="20"/>
          <w:szCs w:val="20"/>
        </w:rPr>
      </w:pPr>
      <w:r>
        <w:rPr>
          <w:rFonts w:ascii="Book Antiqua" w:hAnsi="Book Antiqua"/>
          <w:color w:val="000000"/>
          <w:sz w:val="20"/>
          <w:szCs w:val="20"/>
        </w:rPr>
        <w:t>A Prefeitura, em hipótese alguma, cancelará Restos a Pagar alusivos às emendas individuais impositivas.</w:t>
      </w:r>
    </w:p>
    <w:p w:rsidR="0017644C" w:rsidRDefault="0017644C" w:rsidP="0017644C">
      <w:pPr>
        <w:pStyle w:val="PargrafodaLista"/>
        <w:spacing w:after="0" w:line="276" w:lineRule="auto"/>
        <w:jc w:val="both"/>
        <w:rPr>
          <w:rFonts w:ascii="Book Antiqua" w:hAnsi="Book Antiqua"/>
          <w:color w:val="000000"/>
          <w:sz w:val="20"/>
          <w:szCs w:val="20"/>
        </w:rPr>
      </w:pPr>
    </w:p>
    <w:p w:rsidR="0017644C" w:rsidRDefault="0017644C" w:rsidP="0017644C">
      <w:pPr>
        <w:tabs>
          <w:tab w:val="left" w:pos="1080"/>
        </w:tabs>
        <w:spacing w:after="0" w:line="276" w:lineRule="auto"/>
        <w:jc w:val="both"/>
        <w:rPr>
          <w:rFonts w:ascii="Book Antiqua" w:hAnsi="Book Antiqua" w:cs="Arial"/>
          <w:color w:val="000000"/>
          <w:sz w:val="20"/>
          <w:szCs w:val="20"/>
        </w:rPr>
      </w:pPr>
      <w:r>
        <w:rPr>
          <w:rFonts w:ascii="Book Antiqua" w:hAnsi="Book Antiqua" w:cs="Arial"/>
          <w:b/>
          <w:bCs/>
          <w:color w:val="000000"/>
          <w:sz w:val="20"/>
          <w:szCs w:val="20"/>
        </w:rPr>
        <w:t>Art. 28</w:t>
      </w:r>
      <w:r>
        <w:rPr>
          <w:rFonts w:ascii="Book Antiqua" w:hAnsi="Book Antiqua" w:cs="Arial"/>
          <w:color w:val="000000"/>
          <w:sz w:val="20"/>
          <w:szCs w:val="20"/>
        </w:rPr>
        <w:t xml:space="preserve"> Esta Lei entra em vigor na data de sua publicação, revogadas as disposições em contrário.</w:t>
      </w:r>
    </w:p>
    <w:p w:rsidR="008C13C3" w:rsidRDefault="008C13C3" w:rsidP="0017644C">
      <w:pPr>
        <w:tabs>
          <w:tab w:val="left" w:pos="1080"/>
        </w:tabs>
        <w:spacing w:after="0" w:line="276" w:lineRule="auto"/>
        <w:jc w:val="both"/>
        <w:rPr>
          <w:rFonts w:ascii="Book Antiqua" w:hAnsi="Book Antiqua" w:cs="Arial"/>
          <w:color w:val="000000"/>
          <w:sz w:val="20"/>
          <w:szCs w:val="20"/>
        </w:rPr>
      </w:pPr>
    </w:p>
    <w:p w:rsidR="0017644C" w:rsidRDefault="0017644C" w:rsidP="0017644C">
      <w:pPr>
        <w:tabs>
          <w:tab w:val="left" w:pos="1080"/>
        </w:tabs>
        <w:spacing w:after="0" w:line="276" w:lineRule="auto"/>
        <w:jc w:val="both"/>
        <w:rPr>
          <w:rFonts w:ascii="Book Antiqua" w:hAnsi="Book Antiqua" w:cs="Arial"/>
          <w:color w:val="000000"/>
          <w:sz w:val="20"/>
          <w:szCs w:val="20"/>
        </w:rPr>
      </w:pPr>
    </w:p>
    <w:p w:rsidR="008C13C3" w:rsidRDefault="008C13C3" w:rsidP="008C13C3">
      <w:pPr>
        <w:pStyle w:val="Recuodecorpodetexto"/>
        <w:spacing w:after="0" w:line="276" w:lineRule="auto"/>
        <w:ind w:firstLine="0"/>
        <w:jc w:val="center"/>
        <w:rPr>
          <w:rFonts w:ascii="Book Antiqua" w:hAnsi="Book Antiqua"/>
          <w:sz w:val="20"/>
          <w:szCs w:val="20"/>
        </w:rPr>
      </w:pPr>
      <w:r>
        <w:rPr>
          <w:rFonts w:ascii="Book Antiqua" w:hAnsi="Book Antiqua"/>
          <w:sz w:val="20"/>
          <w:szCs w:val="20"/>
        </w:rPr>
        <w:t>Guararapes/SP, 29 de setembro de 2.021.</w:t>
      </w:r>
    </w:p>
    <w:p w:rsidR="008C13C3" w:rsidRDefault="008C13C3" w:rsidP="008C13C3">
      <w:pPr>
        <w:spacing w:after="0" w:line="276" w:lineRule="auto"/>
        <w:jc w:val="both"/>
        <w:rPr>
          <w:rFonts w:ascii="Book Antiqua" w:hAnsi="Book Antiqua"/>
          <w:sz w:val="20"/>
          <w:szCs w:val="20"/>
        </w:rPr>
      </w:pPr>
    </w:p>
    <w:p w:rsidR="008C13C3" w:rsidRDefault="008C13C3" w:rsidP="008C13C3">
      <w:pPr>
        <w:spacing w:after="0" w:line="276" w:lineRule="auto"/>
        <w:jc w:val="both"/>
        <w:rPr>
          <w:rFonts w:ascii="Book Antiqua" w:hAnsi="Book Antiqua"/>
          <w:sz w:val="20"/>
          <w:szCs w:val="20"/>
        </w:rPr>
      </w:pPr>
    </w:p>
    <w:p w:rsidR="008C13C3" w:rsidRDefault="008C13C3" w:rsidP="008C13C3">
      <w:pPr>
        <w:spacing w:after="0" w:line="276" w:lineRule="auto"/>
        <w:jc w:val="center"/>
        <w:rPr>
          <w:rFonts w:ascii="Book Antiqua" w:hAnsi="Book Antiqua"/>
          <w:b/>
          <w:sz w:val="20"/>
          <w:szCs w:val="20"/>
        </w:rPr>
      </w:pPr>
      <w:r>
        <w:rPr>
          <w:rFonts w:ascii="Book Antiqua" w:hAnsi="Book Antiqua"/>
          <w:b/>
          <w:sz w:val="20"/>
          <w:szCs w:val="20"/>
        </w:rPr>
        <w:t>ALEX PERAMO DE ARRUDA</w:t>
      </w:r>
    </w:p>
    <w:p w:rsidR="008C13C3" w:rsidRDefault="008C13C3" w:rsidP="008C13C3">
      <w:pPr>
        <w:spacing w:after="0" w:line="276" w:lineRule="auto"/>
        <w:jc w:val="center"/>
        <w:rPr>
          <w:rFonts w:ascii="Book Antiqua" w:hAnsi="Book Antiqua"/>
          <w:sz w:val="20"/>
          <w:szCs w:val="20"/>
        </w:rPr>
      </w:pPr>
      <w:r>
        <w:rPr>
          <w:rFonts w:ascii="Book Antiqua" w:hAnsi="Book Antiqua"/>
          <w:b/>
          <w:sz w:val="20"/>
          <w:szCs w:val="20"/>
        </w:rPr>
        <w:t>Prefeito Municipal</w:t>
      </w:r>
    </w:p>
    <w:p w:rsidR="008C13C3" w:rsidRDefault="008C13C3" w:rsidP="008C13C3">
      <w:pPr>
        <w:spacing w:line="276" w:lineRule="auto"/>
        <w:rPr>
          <w:rFonts w:asciiTheme="minorHAnsi" w:hAnsiTheme="minorHAnsi"/>
        </w:rPr>
      </w:pPr>
    </w:p>
    <w:p w:rsidR="004F7020" w:rsidRDefault="004F7020"/>
    <w:sectPr w:rsidR="004F7020" w:rsidSect="002A1B5F">
      <w:pgSz w:w="11906" w:h="16838"/>
      <w:pgMar w:top="2694"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Antiqu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43D"/>
    <w:multiLevelType w:val="hybridMultilevel"/>
    <w:tmpl w:val="49DE1C4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E194E25"/>
    <w:multiLevelType w:val="hybridMultilevel"/>
    <w:tmpl w:val="63065CB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29FA0BDC"/>
    <w:multiLevelType w:val="hybridMultilevel"/>
    <w:tmpl w:val="448063F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3BEA3B30"/>
    <w:multiLevelType w:val="hybridMultilevel"/>
    <w:tmpl w:val="A664EFA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40BF108E"/>
    <w:multiLevelType w:val="hybridMultilevel"/>
    <w:tmpl w:val="710663D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43DE6CC3"/>
    <w:multiLevelType w:val="hybridMultilevel"/>
    <w:tmpl w:val="9566FB9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4D3A75A3"/>
    <w:multiLevelType w:val="hybridMultilevel"/>
    <w:tmpl w:val="5D62E3C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69472996"/>
    <w:multiLevelType w:val="hybridMultilevel"/>
    <w:tmpl w:val="3716969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6B905151"/>
    <w:multiLevelType w:val="hybridMultilevel"/>
    <w:tmpl w:val="B41283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74F951C1"/>
    <w:multiLevelType w:val="hybridMultilevel"/>
    <w:tmpl w:val="1FC881F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7E0D1EFC"/>
    <w:multiLevelType w:val="hybridMultilevel"/>
    <w:tmpl w:val="CBFC25BE"/>
    <w:lvl w:ilvl="0" w:tplc="04160013">
      <w:start w:val="1"/>
      <w:numFmt w:val="upperRoman"/>
      <w:lvlText w:val="%1."/>
      <w:lvlJc w:val="right"/>
      <w:pPr>
        <w:ind w:left="1080" w:hanging="18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E04"/>
    <w:rsid w:val="0017644C"/>
    <w:rsid w:val="002A1B5F"/>
    <w:rsid w:val="004F7020"/>
    <w:rsid w:val="008C13C3"/>
    <w:rsid w:val="00AD1E04"/>
    <w:rsid w:val="00AF2528"/>
    <w:rsid w:val="00F03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4C"/>
    <w:pPr>
      <w:spacing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644C"/>
    <w:pPr>
      <w:ind w:left="720"/>
      <w:contextualSpacing/>
    </w:pPr>
  </w:style>
  <w:style w:type="paragraph" w:styleId="Recuodecorpodetexto">
    <w:name w:val="Body Text Indent"/>
    <w:basedOn w:val="Normal"/>
    <w:link w:val="RecuodecorpodetextoChar"/>
    <w:semiHidden/>
    <w:unhideWhenUsed/>
    <w:rsid w:val="008C13C3"/>
    <w:pPr>
      <w:spacing w:line="254" w:lineRule="auto"/>
      <w:ind w:firstLine="1560"/>
    </w:pPr>
    <w:rPr>
      <w:rFonts w:ascii="Times New Roman" w:eastAsia="Times New Roman" w:hAnsi="Times New Roman"/>
    </w:rPr>
  </w:style>
  <w:style w:type="character" w:customStyle="1" w:styleId="RecuodecorpodetextoChar">
    <w:name w:val="Recuo de corpo de texto Char"/>
    <w:basedOn w:val="Fontepargpadro"/>
    <w:link w:val="Recuodecorpodetexto"/>
    <w:semiHidden/>
    <w:rsid w:val="008C13C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4C"/>
    <w:pPr>
      <w:spacing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644C"/>
    <w:pPr>
      <w:ind w:left="720"/>
      <w:contextualSpacing/>
    </w:pPr>
  </w:style>
  <w:style w:type="paragraph" w:styleId="Recuodecorpodetexto">
    <w:name w:val="Body Text Indent"/>
    <w:basedOn w:val="Normal"/>
    <w:link w:val="RecuodecorpodetextoChar"/>
    <w:semiHidden/>
    <w:unhideWhenUsed/>
    <w:rsid w:val="008C13C3"/>
    <w:pPr>
      <w:spacing w:line="254" w:lineRule="auto"/>
      <w:ind w:firstLine="1560"/>
    </w:pPr>
    <w:rPr>
      <w:rFonts w:ascii="Times New Roman" w:eastAsia="Times New Roman" w:hAnsi="Times New Roman"/>
    </w:rPr>
  </w:style>
  <w:style w:type="character" w:customStyle="1" w:styleId="RecuodecorpodetextoChar">
    <w:name w:val="Recuo de corpo de texto Char"/>
    <w:basedOn w:val="Fontepargpadro"/>
    <w:link w:val="Recuodecorpodetexto"/>
    <w:semiHidden/>
    <w:rsid w:val="008C13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9396">
      <w:bodyDiv w:val="1"/>
      <w:marLeft w:val="0"/>
      <w:marRight w:val="0"/>
      <w:marTop w:val="0"/>
      <w:marBottom w:val="0"/>
      <w:divBdr>
        <w:top w:val="none" w:sz="0" w:space="0" w:color="auto"/>
        <w:left w:val="none" w:sz="0" w:space="0" w:color="auto"/>
        <w:bottom w:val="none" w:sz="0" w:space="0" w:color="auto"/>
        <w:right w:val="none" w:sz="0" w:space="0" w:color="auto"/>
      </w:divBdr>
    </w:div>
    <w:div w:id="9486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2942</Words>
  <Characters>15893</Characters>
  <Application>Microsoft Office Word</Application>
  <DocSecurity>4</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Bassani Dias</dc:creator>
  <cp:lastModifiedBy>Usuario</cp:lastModifiedBy>
  <cp:revision>2</cp:revision>
  <dcterms:created xsi:type="dcterms:W3CDTF">2021-09-30T20:15:00Z</dcterms:created>
  <dcterms:modified xsi:type="dcterms:W3CDTF">2021-09-30T20:15:00Z</dcterms:modified>
</cp:coreProperties>
</file>